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244AB1">
                                    <w:pPr>
                                      <w:pStyle w:val="Sansinterligne"/>
                                      <w:rPr>
                                        <w:b/>
                                        <w:color w:val="612C51" w:themeColor="accent1"/>
                                        <w:sz w:val="80"/>
                                        <w:szCs w:val="80"/>
                                      </w:rPr>
                                    </w:pPr>
                                    <w:r>
                                      <w:rPr>
                                        <w:b/>
                                        <w:color w:val="612C51" w:themeColor="accent1"/>
                                        <w:sz w:val="80"/>
                                        <w:szCs w:val="80"/>
                                      </w:rPr>
                                      <w:t>T</w:t>
                                    </w:r>
                                    <w:r w:rsidR="007E0487" w:rsidRPr="00DA2B39">
                                      <w:rPr>
                                        <w:b/>
                                        <w:color w:val="612C51" w:themeColor="accent1"/>
                                        <w:sz w:val="80"/>
                                        <w:szCs w:val="80"/>
                                      </w:rPr>
                                      <w:t xml:space="preserve">itre </w:t>
                                    </w:r>
                                    <w:r w:rsidR="00165177">
                                      <w:rPr>
                                        <w:b/>
                                        <w:color w:val="612C51" w:themeColor="accent1"/>
                                        <w:sz w:val="80"/>
                                        <w:szCs w:val="80"/>
                                      </w:rPr>
                                      <w:t>2</w:t>
                                    </w:r>
                                    <w:r w:rsidR="00F072B9">
                                      <w:rPr>
                                        <w:b/>
                                        <w:color w:val="612C51" w:themeColor="accent1"/>
                                        <w:sz w:val="80"/>
                                        <w:szCs w:val="80"/>
                                      </w:rPr>
                                      <w:t>4</w:t>
                                    </w:r>
                                    <w:r>
                                      <w:rPr>
                                        <w:b/>
                                        <w:color w:val="612C51" w:themeColor="accent1"/>
                                        <w:sz w:val="80"/>
                                        <w:szCs w:val="80"/>
                                      </w:rPr>
                                      <w:t>00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854E33">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244AB1" w:rsidRPr="00244AB1">
                                      <w:rPr>
                                        <w:b/>
                                        <w:color w:val="612C51" w:themeColor="accent1"/>
                                        <w:sz w:val="40"/>
                                      </w:rPr>
                                      <w:t>Présentation des chapitres</w:t>
                                    </w:r>
                                    <w:r w:rsidR="00244AB1">
                                      <w:rPr>
                                        <w:b/>
                                        <w:color w:val="612C51" w:themeColor="accent1"/>
                                        <w:sz w:val="40"/>
                                      </w:rPr>
                                      <w:t xml:space="preserve"> du titre</w:t>
                                    </w:r>
                                    <w:r w:rsidR="00244AB1" w:rsidRPr="00244AB1">
                                      <w:rPr>
                                        <w:b/>
                                        <w:color w:val="612C51" w:themeColor="accent1"/>
                                        <w:sz w:val="40"/>
                                      </w:rPr>
                                      <w:t xml:space="preserve"> 2400</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244AB1">
                              <w:pPr>
                                <w:pStyle w:val="Sansinterligne"/>
                                <w:rPr>
                                  <w:b/>
                                  <w:color w:val="612C51" w:themeColor="accent1"/>
                                  <w:sz w:val="80"/>
                                  <w:szCs w:val="80"/>
                                </w:rPr>
                              </w:pPr>
                              <w:r>
                                <w:rPr>
                                  <w:b/>
                                  <w:color w:val="612C51" w:themeColor="accent1"/>
                                  <w:sz w:val="80"/>
                                  <w:szCs w:val="80"/>
                                </w:rPr>
                                <w:t>T</w:t>
                              </w:r>
                              <w:r w:rsidR="007E0487" w:rsidRPr="00DA2B39">
                                <w:rPr>
                                  <w:b/>
                                  <w:color w:val="612C51" w:themeColor="accent1"/>
                                  <w:sz w:val="80"/>
                                  <w:szCs w:val="80"/>
                                </w:rPr>
                                <w:t xml:space="preserve">itre </w:t>
                              </w:r>
                              <w:r w:rsidR="00165177">
                                <w:rPr>
                                  <w:b/>
                                  <w:color w:val="612C51" w:themeColor="accent1"/>
                                  <w:sz w:val="80"/>
                                  <w:szCs w:val="80"/>
                                </w:rPr>
                                <w:t>2</w:t>
                              </w:r>
                              <w:r w:rsidR="00F072B9">
                                <w:rPr>
                                  <w:b/>
                                  <w:color w:val="612C51" w:themeColor="accent1"/>
                                  <w:sz w:val="80"/>
                                  <w:szCs w:val="80"/>
                                </w:rPr>
                                <w:t>4</w:t>
                              </w:r>
                              <w:r>
                                <w:rPr>
                                  <w:b/>
                                  <w:color w:val="612C51" w:themeColor="accent1"/>
                                  <w:sz w:val="80"/>
                                  <w:szCs w:val="80"/>
                                </w:rPr>
                                <w:t>00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 des sociétés cotées</w:t>
                          </w:r>
                        </w:p>
                        <w:p w:rsidR="007E0487" w:rsidRPr="00DA2B39" w:rsidRDefault="00244AB1">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244AB1">
                                <w:rPr>
                                  <w:b/>
                                  <w:color w:val="612C51" w:themeColor="accent1"/>
                                  <w:sz w:val="40"/>
                                </w:rPr>
                                <w:t>Présentation des chapitres</w:t>
                              </w:r>
                              <w:r>
                                <w:rPr>
                                  <w:b/>
                                  <w:color w:val="612C51" w:themeColor="accent1"/>
                                  <w:sz w:val="40"/>
                                </w:rPr>
                                <w:t xml:space="preserve"> du titre</w:t>
                              </w:r>
                              <w:r w:rsidRPr="00244AB1">
                                <w:rPr>
                                  <w:b/>
                                  <w:color w:val="612C51" w:themeColor="accent1"/>
                                  <w:sz w:val="40"/>
                                </w:rPr>
                                <w:t xml:space="preserve"> 2400</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244AB1" w:rsidRDefault="00244AB1">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90667" w:history="1">
        <w:r w:rsidRPr="00A01214">
          <w:rPr>
            <w:rStyle w:val="Lienhypertexte"/>
          </w:rPr>
          <w:t>Section 100.</w:t>
        </w:r>
        <w:r>
          <w:rPr>
            <w:rFonts w:eastAsiaTheme="minorEastAsia"/>
            <w:b w:val="0"/>
            <w:color w:val="auto"/>
            <w:sz w:val="22"/>
            <w:lang w:eastAsia="fr-FR"/>
          </w:rPr>
          <w:tab/>
        </w:r>
        <w:r w:rsidRPr="00A01214">
          <w:rPr>
            <w:rStyle w:val="Lienhypertexte"/>
          </w:rPr>
          <w:t>Table des matières</w:t>
        </w:r>
        <w:r>
          <w:rPr>
            <w:webHidden/>
          </w:rPr>
          <w:tab/>
        </w:r>
        <w:r>
          <w:rPr>
            <w:webHidden/>
          </w:rPr>
          <w:fldChar w:fldCharType="begin"/>
        </w:r>
        <w:r>
          <w:rPr>
            <w:webHidden/>
          </w:rPr>
          <w:instrText xml:space="preserve"> PAGEREF _Toc452390667 \h </w:instrText>
        </w:r>
        <w:r>
          <w:rPr>
            <w:webHidden/>
          </w:rPr>
        </w:r>
        <w:r>
          <w:rPr>
            <w:webHidden/>
          </w:rPr>
          <w:fldChar w:fldCharType="separate"/>
        </w:r>
        <w:r>
          <w:rPr>
            <w:webHidden/>
          </w:rPr>
          <w:t>2</w:t>
        </w:r>
        <w:r>
          <w:rPr>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68" w:history="1">
        <w:r w:rsidR="00244AB1" w:rsidRPr="00A01214">
          <w:rPr>
            <w:rStyle w:val="Lienhypertexte"/>
            <w:noProof/>
          </w:rPr>
          <w:t>Chapitre 2410 – Marché réglementé actions</w:t>
        </w:r>
        <w:r w:rsidR="00244AB1">
          <w:rPr>
            <w:noProof/>
            <w:webHidden/>
          </w:rPr>
          <w:tab/>
        </w:r>
        <w:r w:rsidR="00244AB1">
          <w:rPr>
            <w:noProof/>
            <w:webHidden/>
          </w:rPr>
          <w:fldChar w:fldCharType="begin"/>
        </w:r>
        <w:r w:rsidR="00244AB1">
          <w:rPr>
            <w:noProof/>
            <w:webHidden/>
          </w:rPr>
          <w:instrText xml:space="preserve"> PAGEREF _Toc452390668 \h </w:instrText>
        </w:r>
        <w:r w:rsidR="00244AB1">
          <w:rPr>
            <w:noProof/>
            <w:webHidden/>
          </w:rPr>
        </w:r>
        <w:r w:rsidR="00244AB1">
          <w:rPr>
            <w:noProof/>
            <w:webHidden/>
          </w:rPr>
          <w:fldChar w:fldCharType="separate"/>
        </w:r>
        <w:r w:rsidR="00244AB1">
          <w:rPr>
            <w:noProof/>
            <w:webHidden/>
          </w:rPr>
          <w:t>2</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69" w:history="1">
        <w:r w:rsidR="00244AB1" w:rsidRPr="00A01214">
          <w:rPr>
            <w:rStyle w:val="Lienhypertexte"/>
            <w:noProof/>
          </w:rPr>
          <w:t>Chapitre 2411 – Introduction au marché réglementé actions</w:t>
        </w:r>
        <w:r w:rsidR="00244AB1">
          <w:rPr>
            <w:noProof/>
            <w:webHidden/>
          </w:rPr>
          <w:tab/>
        </w:r>
        <w:r w:rsidR="00244AB1">
          <w:rPr>
            <w:noProof/>
            <w:webHidden/>
          </w:rPr>
          <w:fldChar w:fldCharType="begin"/>
        </w:r>
        <w:r w:rsidR="00244AB1">
          <w:rPr>
            <w:noProof/>
            <w:webHidden/>
          </w:rPr>
          <w:instrText xml:space="preserve"> PAGEREF _Toc452390669 \h </w:instrText>
        </w:r>
        <w:r w:rsidR="00244AB1">
          <w:rPr>
            <w:noProof/>
            <w:webHidden/>
          </w:rPr>
        </w:r>
        <w:r w:rsidR="00244AB1">
          <w:rPr>
            <w:noProof/>
            <w:webHidden/>
          </w:rPr>
          <w:fldChar w:fldCharType="separate"/>
        </w:r>
        <w:r w:rsidR="00244AB1">
          <w:rPr>
            <w:noProof/>
            <w:webHidden/>
          </w:rPr>
          <w:t>2</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0" w:history="1">
        <w:r w:rsidR="00244AB1" w:rsidRPr="00A01214">
          <w:rPr>
            <w:rStyle w:val="Lienhypertexte"/>
            <w:noProof/>
          </w:rPr>
          <w:t>Chapitre 2412 – Acceptation de la mission / nomination / renouvellement / cessation des fonctions</w:t>
        </w:r>
        <w:r w:rsidR="00244AB1">
          <w:rPr>
            <w:noProof/>
            <w:webHidden/>
          </w:rPr>
          <w:tab/>
        </w:r>
        <w:r w:rsidR="00244AB1">
          <w:rPr>
            <w:noProof/>
            <w:webHidden/>
          </w:rPr>
          <w:fldChar w:fldCharType="begin"/>
        </w:r>
        <w:r w:rsidR="00244AB1">
          <w:rPr>
            <w:noProof/>
            <w:webHidden/>
          </w:rPr>
          <w:instrText xml:space="preserve"> PAGEREF _Toc452390670 \h </w:instrText>
        </w:r>
        <w:r w:rsidR="00244AB1">
          <w:rPr>
            <w:noProof/>
            <w:webHidden/>
          </w:rPr>
        </w:r>
        <w:r w:rsidR="00244AB1">
          <w:rPr>
            <w:noProof/>
            <w:webHidden/>
          </w:rPr>
          <w:fldChar w:fldCharType="separate"/>
        </w:r>
        <w:r w:rsidR="00244AB1">
          <w:rPr>
            <w:noProof/>
            <w:webHidden/>
          </w:rPr>
          <w:t>3</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1" w:history="1">
        <w:r w:rsidR="00244AB1" w:rsidRPr="00A01214">
          <w:rPr>
            <w:rStyle w:val="Lienhypertexte"/>
            <w:noProof/>
          </w:rPr>
          <w:t>Chapitre 2413 – Obligations permanentes du commissaire aux comptes</w:t>
        </w:r>
        <w:r w:rsidR="00244AB1">
          <w:rPr>
            <w:noProof/>
            <w:webHidden/>
          </w:rPr>
          <w:tab/>
        </w:r>
        <w:r w:rsidR="00244AB1">
          <w:rPr>
            <w:noProof/>
            <w:webHidden/>
          </w:rPr>
          <w:fldChar w:fldCharType="begin"/>
        </w:r>
        <w:r w:rsidR="00244AB1">
          <w:rPr>
            <w:noProof/>
            <w:webHidden/>
          </w:rPr>
          <w:instrText xml:space="preserve"> PAGEREF _Toc452390671 \h </w:instrText>
        </w:r>
        <w:r w:rsidR="00244AB1">
          <w:rPr>
            <w:noProof/>
            <w:webHidden/>
          </w:rPr>
        </w:r>
        <w:r w:rsidR="00244AB1">
          <w:rPr>
            <w:noProof/>
            <w:webHidden/>
          </w:rPr>
          <w:fldChar w:fldCharType="separate"/>
        </w:r>
        <w:r w:rsidR="00244AB1">
          <w:rPr>
            <w:noProof/>
            <w:webHidden/>
          </w:rPr>
          <w:t>4</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2" w:history="1">
        <w:r w:rsidR="00244AB1" w:rsidRPr="00A01214">
          <w:rPr>
            <w:rStyle w:val="Lienhypertexte"/>
            <w:noProof/>
          </w:rPr>
          <w:t>Chapitre 2414 – Interventions périodiques du commissaire aux comptes</w:t>
        </w:r>
        <w:r w:rsidR="00244AB1">
          <w:rPr>
            <w:noProof/>
            <w:webHidden/>
          </w:rPr>
          <w:tab/>
        </w:r>
        <w:r w:rsidR="00244AB1">
          <w:rPr>
            <w:noProof/>
            <w:webHidden/>
          </w:rPr>
          <w:fldChar w:fldCharType="begin"/>
        </w:r>
        <w:r w:rsidR="00244AB1">
          <w:rPr>
            <w:noProof/>
            <w:webHidden/>
          </w:rPr>
          <w:instrText xml:space="preserve"> PAGEREF _Toc452390672 \h </w:instrText>
        </w:r>
        <w:r w:rsidR="00244AB1">
          <w:rPr>
            <w:noProof/>
            <w:webHidden/>
          </w:rPr>
        </w:r>
        <w:r w:rsidR="00244AB1">
          <w:rPr>
            <w:noProof/>
            <w:webHidden/>
          </w:rPr>
          <w:fldChar w:fldCharType="separate"/>
        </w:r>
        <w:r w:rsidR="00244AB1">
          <w:rPr>
            <w:noProof/>
            <w:webHidden/>
          </w:rPr>
          <w:t>6</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3" w:history="1">
        <w:r w:rsidR="00244AB1" w:rsidRPr="00A01214">
          <w:rPr>
            <w:rStyle w:val="Lienhypertexte"/>
            <w:noProof/>
          </w:rPr>
          <w:t>Chapitre 2415 – Opérations de marché</w:t>
        </w:r>
        <w:r w:rsidR="00244AB1">
          <w:rPr>
            <w:noProof/>
            <w:webHidden/>
          </w:rPr>
          <w:tab/>
        </w:r>
        <w:r w:rsidR="00244AB1">
          <w:rPr>
            <w:noProof/>
            <w:webHidden/>
          </w:rPr>
          <w:fldChar w:fldCharType="begin"/>
        </w:r>
        <w:r w:rsidR="00244AB1">
          <w:rPr>
            <w:noProof/>
            <w:webHidden/>
          </w:rPr>
          <w:instrText xml:space="preserve"> PAGEREF _Toc452390673 \h </w:instrText>
        </w:r>
        <w:r w:rsidR="00244AB1">
          <w:rPr>
            <w:noProof/>
            <w:webHidden/>
          </w:rPr>
        </w:r>
        <w:r w:rsidR="00244AB1">
          <w:rPr>
            <w:noProof/>
            <w:webHidden/>
          </w:rPr>
          <w:fldChar w:fldCharType="separate"/>
        </w:r>
        <w:r w:rsidR="00244AB1">
          <w:rPr>
            <w:noProof/>
            <w:webHidden/>
          </w:rPr>
          <w:t>8</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4" w:history="1">
        <w:r w:rsidR="00244AB1" w:rsidRPr="00A01214">
          <w:rPr>
            <w:rStyle w:val="Lienhypertexte"/>
            <w:noProof/>
          </w:rPr>
          <w:t>Chapitre 2416 – Focus sur d’autres mises en situation non récurrentes</w:t>
        </w:r>
        <w:r w:rsidR="00244AB1">
          <w:rPr>
            <w:noProof/>
            <w:webHidden/>
          </w:rPr>
          <w:tab/>
        </w:r>
        <w:r w:rsidR="00244AB1">
          <w:rPr>
            <w:noProof/>
            <w:webHidden/>
          </w:rPr>
          <w:fldChar w:fldCharType="begin"/>
        </w:r>
        <w:r w:rsidR="00244AB1">
          <w:rPr>
            <w:noProof/>
            <w:webHidden/>
          </w:rPr>
          <w:instrText xml:space="preserve"> PAGEREF _Toc452390674 \h </w:instrText>
        </w:r>
        <w:r w:rsidR="00244AB1">
          <w:rPr>
            <w:noProof/>
            <w:webHidden/>
          </w:rPr>
        </w:r>
        <w:r w:rsidR="00244AB1">
          <w:rPr>
            <w:noProof/>
            <w:webHidden/>
          </w:rPr>
          <w:fldChar w:fldCharType="separate"/>
        </w:r>
        <w:r w:rsidR="00244AB1">
          <w:rPr>
            <w:noProof/>
            <w:webHidden/>
          </w:rPr>
          <w:t>13</w:t>
        </w:r>
        <w:r w:rsidR="00244AB1">
          <w:rPr>
            <w:noProof/>
            <w:webHidden/>
          </w:rPr>
          <w:fldChar w:fldCharType="end"/>
        </w:r>
      </w:hyperlink>
    </w:p>
    <w:p w:rsidR="00244AB1" w:rsidRDefault="00854E33">
      <w:pPr>
        <w:pStyle w:val="TM2"/>
        <w:tabs>
          <w:tab w:val="right" w:leader="dot" w:pos="9060"/>
        </w:tabs>
        <w:rPr>
          <w:rFonts w:asciiTheme="minorHAnsi" w:eastAsiaTheme="minorEastAsia" w:hAnsiTheme="minorHAnsi"/>
          <w:noProof/>
          <w:lang w:eastAsia="fr-FR"/>
        </w:rPr>
      </w:pPr>
      <w:hyperlink w:anchor="_Toc452390675" w:history="1">
        <w:r w:rsidR="00244AB1" w:rsidRPr="00A01214">
          <w:rPr>
            <w:rStyle w:val="Lienhypertexte"/>
            <w:noProof/>
          </w:rPr>
          <w:t>Chapitre 2420 – Marché Alternext</w:t>
        </w:r>
        <w:r w:rsidR="00244AB1">
          <w:rPr>
            <w:noProof/>
            <w:webHidden/>
          </w:rPr>
          <w:tab/>
        </w:r>
        <w:r w:rsidR="00244AB1">
          <w:rPr>
            <w:noProof/>
            <w:webHidden/>
          </w:rPr>
          <w:fldChar w:fldCharType="begin"/>
        </w:r>
        <w:r w:rsidR="00244AB1">
          <w:rPr>
            <w:noProof/>
            <w:webHidden/>
          </w:rPr>
          <w:instrText xml:space="preserve"> PAGEREF _Toc452390675 \h </w:instrText>
        </w:r>
        <w:r w:rsidR="00244AB1">
          <w:rPr>
            <w:noProof/>
            <w:webHidden/>
          </w:rPr>
        </w:r>
        <w:r w:rsidR="00244AB1">
          <w:rPr>
            <w:noProof/>
            <w:webHidden/>
          </w:rPr>
          <w:fldChar w:fldCharType="separate"/>
        </w:r>
        <w:r w:rsidR="00244AB1">
          <w:rPr>
            <w:noProof/>
            <w:webHidden/>
          </w:rPr>
          <w:t>15</w:t>
        </w:r>
        <w:r w:rsidR="00244AB1">
          <w:rPr>
            <w:noProof/>
            <w:webHidden/>
          </w:rPr>
          <w:fldChar w:fldCharType="end"/>
        </w:r>
      </w:hyperlink>
    </w:p>
    <w:p w:rsidR="00244AB1" w:rsidRDefault="00854E33">
      <w:pPr>
        <w:pStyle w:val="TM1"/>
        <w:rPr>
          <w:rFonts w:eastAsiaTheme="minorEastAsia"/>
          <w:b w:val="0"/>
          <w:color w:val="auto"/>
          <w:sz w:val="22"/>
          <w:lang w:eastAsia="fr-FR"/>
        </w:rPr>
      </w:pPr>
      <w:hyperlink w:anchor="_Toc452390676" w:history="1">
        <w:r w:rsidR="00244AB1" w:rsidRPr="00A01214">
          <w:rPr>
            <w:rStyle w:val="Lienhypertexte"/>
          </w:rPr>
          <w:t>Section 200.</w:t>
        </w:r>
        <w:r w:rsidR="00244AB1">
          <w:rPr>
            <w:rFonts w:eastAsiaTheme="minorEastAsia"/>
            <w:b w:val="0"/>
            <w:color w:val="auto"/>
            <w:sz w:val="22"/>
            <w:lang w:eastAsia="fr-FR"/>
          </w:rPr>
          <w:tab/>
        </w:r>
        <w:r w:rsidR="00244AB1" w:rsidRPr="00A01214">
          <w:rPr>
            <w:rStyle w:val="Lienhypertexte"/>
          </w:rPr>
          <w:t>Outils proposés</w:t>
        </w:r>
        <w:r w:rsidR="00244AB1">
          <w:rPr>
            <w:webHidden/>
          </w:rPr>
          <w:tab/>
        </w:r>
        <w:r w:rsidR="00244AB1">
          <w:rPr>
            <w:webHidden/>
          </w:rPr>
          <w:fldChar w:fldCharType="begin"/>
        </w:r>
        <w:r w:rsidR="00244AB1">
          <w:rPr>
            <w:webHidden/>
          </w:rPr>
          <w:instrText xml:space="preserve"> PAGEREF _Toc452390676 \h </w:instrText>
        </w:r>
        <w:r w:rsidR="00244AB1">
          <w:rPr>
            <w:webHidden/>
          </w:rPr>
        </w:r>
        <w:r w:rsidR="00244AB1">
          <w:rPr>
            <w:webHidden/>
          </w:rPr>
          <w:fldChar w:fldCharType="separate"/>
        </w:r>
        <w:r w:rsidR="00244AB1">
          <w:rPr>
            <w:webHidden/>
          </w:rPr>
          <w:t>16</w:t>
        </w:r>
        <w:r w:rsidR="00244AB1">
          <w:rPr>
            <w:webHidden/>
          </w:rPr>
          <w:fldChar w:fldCharType="end"/>
        </w:r>
      </w:hyperlink>
    </w:p>
    <w:p w:rsidR="00244AB1" w:rsidRDefault="00854E33">
      <w:pPr>
        <w:pStyle w:val="TM1"/>
        <w:rPr>
          <w:rFonts w:eastAsiaTheme="minorEastAsia"/>
          <w:b w:val="0"/>
          <w:color w:val="auto"/>
          <w:sz w:val="22"/>
          <w:lang w:eastAsia="fr-FR"/>
        </w:rPr>
      </w:pPr>
      <w:hyperlink w:anchor="_Toc452390677" w:history="1">
        <w:r w:rsidR="00244AB1" w:rsidRPr="00A01214">
          <w:rPr>
            <w:rStyle w:val="Lienhypertexte"/>
          </w:rPr>
          <w:t>Section 300.</w:t>
        </w:r>
        <w:r w:rsidR="00244AB1">
          <w:rPr>
            <w:rFonts w:eastAsiaTheme="minorEastAsia"/>
            <w:b w:val="0"/>
            <w:color w:val="auto"/>
            <w:sz w:val="22"/>
            <w:lang w:eastAsia="fr-FR"/>
          </w:rPr>
          <w:tab/>
        </w:r>
        <w:r w:rsidR="00244AB1" w:rsidRPr="00A01214">
          <w:rPr>
            <w:rStyle w:val="Lienhypertexte"/>
          </w:rPr>
          <w:t>Textes légaux et reglementaires</w:t>
        </w:r>
        <w:r w:rsidR="00244AB1">
          <w:rPr>
            <w:webHidden/>
          </w:rPr>
          <w:tab/>
        </w:r>
        <w:r w:rsidR="00244AB1">
          <w:rPr>
            <w:webHidden/>
          </w:rPr>
          <w:fldChar w:fldCharType="begin"/>
        </w:r>
        <w:r w:rsidR="00244AB1">
          <w:rPr>
            <w:webHidden/>
          </w:rPr>
          <w:instrText xml:space="preserve"> PAGEREF _Toc452390677 \h </w:instrText>
        </w:r>
        <w:r w:rsidR="00244AB1">
          <w:rPr>
            <w:webHidden/>
          </w:rPr>
        </w:r>
        <w:r w:rsidR="00244AB1">
          <w:rPr>
            <w:webHidden/>
          </w:rPr>
          <w:fldChar w:fldCharType="separate"/>
        </w:r>
        <w:r w:rsidR="00244AB1">
          <w:rPr>
            <w:webHidden/>
          </w:rPr>
          <w:t>16</w:t>
        </w:r>
        <w:r w:rsidR="00244AB1">
          <w:rPr>
            <w:webHidden/>
          </w:rPr>
          <w:fldChar w:fldCharType="end"/>
        </w:r>
      </w:hyperlink>
    </w:p>
    <w:p w:rsidR="00244AB1" w:rsidRDefault="00854E33">
      <w:pPr>
        <w:pStyle w:val="TM1"/>
        <w:rPr>
          <w:rFonts w:eastAsiaTheme="minorEastAsia"/>
          <w:b w:val="0"/>
          <w:color w:val="auto"/>
          <w:sz w:val="22"/>
          <w:lang w:eastAsia="fr-FR"/>
        </w:rPr>
      </w:pPr>
      <w:hyperlink w:anchor="_Toc452390678" w:history="1">
        <w:r w:rsidR="00244AB1" w:rsidRPr="00A01214">
          <w:rPr>
            <w:rStyle w:val="Lienhypertexte"/>
          </w:rPr>
          <w:t>Section 400.</w:t>
        </w:r>
        <w:r w:rsidR="00244AB1">
          <w:rPr>
            <w:rFonts w:eastAsiaTheme="minorEastAsia"/>
            <w:b w:val="0"/>
            <w:color w:val="auto"/>
            <w:sz w:val="22"/>
            <w:lang w:eastAsia="fr-FR"/>
          </w:rPr>
          <w:tab/>
        </w:r>
        <w:r w:rsidR="00244AB1" w:rsidRPr="00A01214">
          <w:rPr>
            <w:rStyle w:val="Lienhypertexte"/>
          </w:rPr>
          <w:t>Formulaires eDossier concernés</w:t>
        </w:r>
        <w:r w:rsidR="00244AB1">
          <w:rPr>
            <w:webHidden/>
          </w:rPr>
          <w:tab/>
        </w:r>
        <w:r w:rsidR="00244AB1">
          <w:rPr>
            <w:webHidden/>
          </w:rPr>
          <w:fldChar w:fldCharType="begin"/>
        </w:r>
        <w:r w:rsidR="00244AB1">
          <w:rPr>
            <w:webHidden/>
          </w:rPr>
          <w:instrText xml:space="preserve"> PAGEREF _Toc452390678 \h </w:instrText>
        </w:r>
        <w:r w:rsidR="00244AB1">
          <w:rPr>
            <w:webHidden/>
          </w:rPr>
        </w:r>
        <w:r w:rsidR="00244AB1">
          <w:rPr>
            <w:webHidden/>
          </w:rPr>
          <w:fldChar w:fldCharType="separate"/>
        </w:r>
        <w:r w:rsidR="00244AB1">
          <w:rPr>
            <w:webHidden/>
          </w:rPr>
          <w:t>16</w:t>
        </w:r>
        <w:r w:rsidR="00244AB1">
          <w:rPr>
            <w:webHidden/>
          </w:rPr>
          <w:fldChar w:fldCharType="end"/>
        </w:r>
      </w:hyperlink>
    </w:p>
    <w:p w:rsidR="00244AB1" w:rsidRDefault="00854E33">
      <w:pPr>
        <w:pStyle w:val="TM1"/>
        <w:rPr>
          <w:rFonts w:eastAsiaTheme="minorEastAsia"/>
          <w:b w:val="0"/>
          <w:color w:val="auto"/>
          <w:sz w:val="22"/>
          <w:lang w:eastAsia="fr-FR"/>
        </w:rPr>
      </w:pPr>
      <w:hyperlink w:anchor="_Toc452390679" w:history="1">
        <w:r w:rsidR="00244AB1" w:rsidRPr="00A01214">
          <w:rPr>
            <w:rStyle w:val="Lienhypertexte"/>
          </w:rPr>
          <w:t>Section 500.</w:t>
        </w:r>
        <w:r w:rsidR="00244AB1">
          <w:rPr>
            <w:rFonts w:eastAsiaTheme="minorEastAsia"/>
            <w:b w:val="0"/>
            <w:color w:val="auto"/>
            <w:sz w:val="22"/>
            <w:lang w:eastAsia="fr-FR"/>
          </w:rPr>
          <w:tab/>
        </w:r>
        <w:r w:rsidR="00244AB1" w:rsidRPr="00A01214">
          <w:rPr>
            <w:rStyle w:val="Lienhypertexte"/>
          </w:rPr>
          <w:t>Ressources de l’Intranet</w:t>
        </w:r>
        <w:r w:rsidR="00244AB1">
          <w:rPr>
            <w:webHidden/>
          </w:rPr>
          <w:tab/>
        </w:r>
        <w:r w:rsidR="00244AB1">
          <w:rPr>
            <w:webHidden/>
          </w:rPr>
          <w:fldChar w:fldCharType="begin"/>
        </w:r>
        <w:r w:rsidR="00244AB1">
          <w:rPr>
            <w:webHidden/>
          </w:rPr>
          <w:instrText xml:space="preserve"> PAGEREF _Toc452390679 \h </w:instrText>
        </w:r>
        <w:r w:rsidR="00244AB1">
          <w:rPr>
            <w:webHidden/>
          </w:rPr>
        </w:r>
        <w:r w:rsidR="00244AB1">
          <w:rPr>
            <w:webHidden/>
          </w:rPr>
          <w:fldChar w:fldCharType="separate"/>
        </w:r>
        <w:r w:rsidR="00244AB1">
          <w:rPr>
            <w:webHidden/>
          </w:rPr>
          <w:t>16</w:t>
        </w:r>
        <w:r w:rsidR="00244AB1">
          <w:rPr>
            <w:webHidden/>
          </w:rPr>
          <w:fldChar w:fldCharType="end"/>
        </w:r>
      </w:hyperlink>
    </w:p>
    <w:p w:rsidR="00244AB1" w:rsidRDefault="00244AB1" w:rsidP="00244AB1">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244AB1" w:rsidRDefault="00244AB1" w:rsidP="00244AB1">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244AB1" w:rsidRDefault="00244AB1" w:rsidP="00244AB1"/>
    <w:p w:rsidR="00244AB1" w:rsidRDefault="00244AB1" w:rsidP="00244AB1">
      <w:pPr>
        <w:pStyle w:val="CACTitre1"/>
      </w:pPr>
      <w:bookmarkStart w:id="0" w:name="_Toc414274147"/>
      <w:bookmarkStart w:id="1" w:name="_Toc452390667"/>
      <w:r w:rsidRPr="00C02620">
        <w:t>Table</w:t>
      </w:r>
      <w:r>
        <w:t xml:space="preserve"> des matières</w:t>
      </w:r>
      <w:bookmarkEnd w:id="0"/>
      <w:bookmarkEnd w:id="1"/>
    </w:p>
    <w:p w:rsidR="00244AB1" w:rsidRDefault="00244AB1" w:rsidP="00244AB1">
      <w:pPr>
        <w:pStyle w:val="CACCorps"/>
      </w:pPr>
    </w:p>
    <w:p w:rsidR="00244AB1" w:rsidRDefault="00244AB1" w:rsidP="00244AB1">
      <w:pPr>
        <w:pStyle w:val="CACTitre2"/>
        <w:numPr>
          <w:ilvl w:val="0"/>
          <w:numId w:val="0"/>
        </w:numPr>
        <w:ind w:left="792"/>
      </w:pPr>
      <w:bookmarkStart w:id="2" w:name="_Toc452390668"/>
      <w:r>
        <w:t>Chapitre 2410 – Marché réglementé actions</w:t>
      </w:r>
      <w:bookmarkEnd w:id="2"/>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B40264"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B40264" w:rsidRDefault="00244AB1" w:rsidP="005714B9">
            <w:pPr>
              <w:jc w:val="center"/>
              <w:rPr>
                <w:rFonts w:eastAsia="Times New Roman" w:cs="Calibri"/>
                <w:b/>
                <w:bCs/>
                <w:color w:val="000000"/>
                <w:lang w:eastAsia="fr-FR"/>
              </w:rPr>
            </w:pPr>
            <w:r w:rsidRPr="00B40264">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B40264" w:rsidRDefault="00244AB1" w:rsidP="005714B9">
            <w:pPr>
              <w:jc w:val="center"/>
              <w:rPr>
                <w:rFonts w:eastAsia="Times New Roman" w:cs="Calibri"/>
                <w:b/>
                <w:bCs/>
                <w:color w:val="000000"/>
                <w:lang w:eastAsia="fr-FR"/>
              </w:rPr>
            </w:pPr>
            <w:r w:rsidRPr="00B40264">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B40264" w:rsidRDefault="00244AB1" w:rsidP="005714B9">
            <w:pPr>
              <w:jc w:val="center"/>
              <w:rPr>
                <w:rFonts w:eastAsia="Times New Roman" w:cs="Calibri"/>
                <w:b/>
                <w:bCs/>
                <w:color w:val="000000"/>
                <w:lang w:eastAsia="fr-FR"/>
              </w:rPr>
            </w:pPr>
            <w:r w:rsidRPr="00B40264">
              <w:rPr>
                <w:rFonts w:eastAsia="Times New Roman" w:cs="Calibri"/>
                <w:b/>
                <w:bCs/>
                <w:color w:val="000000"/>
                <w:lang w:eastAsia="fr-FR"/>
              </w:rPr>
              <w:t>Page</w:t>
            </w:r>
          </w:p>
        </w:tc>
      </w:tr>
      <w:tr w:rsidR="00244AB1" w:rsidRPr="00D16330" w:rsidTr="005714B9">
        <w:trPr>
          <w:trHeight w:val="300"/>
        </w:trPr>
        <w:tc>
          <w:tcPr>
            <w:tcW w:w="1200" w:type="dxa"/>
            <w:tcBorders>
              <w:top w:val="nil"/>
              <w:left w:val="single" w:sz="4" w:space="0" w:color="auto"/>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sidRPr="00D16330">
              <w:rPr>
                <w:rFonts w:eastAsia="Times New Roman" w:cs="Calibri"/>
                <w:b/>
                <w:bCs/>
                <w:noProof/>
                <w:color w:val="FFFFFF" w:themeColor="background1"/>
                <w:lang w:eastAsia="fr-FR"/>
              </w:rPr>
              <w:t>Section 100</w:t>
            </w:r>
          </w:p>
        </w:tc>
        <w:tc>
          <w:tcPr>
            <w:tcW w:w="7200" w:type="dxa"/>
            <w:tcBorders>
              <w:top w:val="nil"/>
              <w:left w:val="nil"/>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Pr>
                <w:rFonts w:eastAsia="Times New Roman" w:cs="Calibri"/>
                <w:b/>
                <w:bCs/>
                <w:color w:val="FFFFFF" w:themeColor="background1"/>
                <w:lang w:eastAsia="fr-FR"/>
              </w:rPr>
              <w:t>TABLE DES MATIERES</w:t>
            </w:r>
          </w:p>
        </w:tc>
        <w:tc>
          <w:tcPr>
            <w:tcW w:w="1200" w:type="dxa"/>
            <w:tcBorders>
              <w:top w:val="nil"/>
              <w:left w:val="nil"/>
              <w:bottom w:val="single" w:sz="4" w:space="0" w:color="auto"/>
              <w:right w:val="single" w:sz="4" w:space="0" w:color="auto"/>
            </w:tcBorders>
            <w:shd w:val="clear" w:color="auto" w:fill="002060"/>
            <w:vAlign w:val="center"/>
          </w:tcPr>
          <w:p w:rsidR="00244AB1" w:rsidRPr="00D16330" w:rsidRDefault="00244AB1" w:rsidP="005714B9">
            <w:pPr>
              <w:jc w:val="center"/>
              <w:rPr>
                <w:rFonts w:eastAsia="Times New Roman" w:cs="Calibri"/>
                <w:b/>
                <w:bCs/>
                <w:color w:val="FFFFFF" w:themeColor="background1"/>
                <w:lang w:eastAsia="fr-FR"/>
              </w:rPr>
            </w:pPr>
            <w:r>
              <w:rPr>
                <w:rFonts w:eastAsia="Times New Roman" w:cs="Calibri"/>
                <w:b/>
                <w:bCs/>
                <w:color w:val="FFFFFF" w:themeColor="background1"/>
                <w:lang w:eastAsia="fr-FR"/>
              </w:rPr>
              <w:t>2</w:t>
            </w:r>
          </w:p>
        </w:tc>
      </w:tr>
      <w:tr w:rsidR="00244AB1" w:rsidRPr="00D16330" w:rsidTr="005714B9">
        <w:trPr>
          <w:trHeight w:val="300"/>
        </w:trPr>
        <w:tc>
          <w:tcPr>
            <w:tcW w:w="1200" w:type="dxa"/>
            <w:tcBorders>
              <w:top w:val="nil"/>
              <w:left w:val="single" w:sz="4" w:space="0" w:color="auto"/>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sidRPr="00D16330">
              <w:rPr>
                <w:rFonts w:eastAsia="Times New Roman" w:cs="Calibri"/>
                <w:b/>
                <w:bCs/>
                <w:noProof/>
                <w:color w:val="FFFFFF" w:themeColor="background1"/>
                <w:lang w:eastAsia="fr-FR"/>
              </w:rPr>
              <w:t>Section 200</w:t>
            </w:r>
          </w:p>
        </w:tc>
        <w:tc>
          <w:tcPr>
            <w:tcW w:w="7200" w:type="dxa"/>
            <w:tcBorders>
              <w:top w:val="nil"/>
              <w:left w:val="nil"/>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Pr>
                <w:rFonts w:eastAsia="Times New Roman" w:cs="Calibri"/>
                <w:b/>
                <w:bCs/>
                <w:color w:val="FFFFFF" w:themeColor="background1"/>
                <w:lang w:eastAsia="fr-FR"/>
              </w:rPr>
              <w:t>OUTILS PROPOSES</w:t>
            </w:r>
          </w:p>
        </w:tc>
        <w:tc>
          <w:tcPr>
            <w:tcW w:w="1200" w:type="dxa"/>
            <w:tcBorders>
              <w:top w:val="nil"/>
              <w:left w:val="nil"/>
              <w:bottom w:val="single" w:sz="4" w:space="0" w:color="auto"/>
              <w:right w:val="single" w:sz="4" w:space="0" w:color="auto"/>
            </w:tcBorders>
            <w:shd w:val="clear" w:color="auto" w:fill="002060"/>
            <w:vAlign w:val="center"/>
          </w:tcPr>
          <w:p w:rsidR="00244AB1" w:rsidRPr="00D16330" w:rsidRDefault="00244AB1" w:rsidP="005714B9">
            <w:pPr>
              <w:jc w:val="center"/>
              <w:rPr>
                <w:rFonts w:eastAsia="Times New Roman" w:cs="Calibri"/>
                <w:b/>
                <w:bCs/>
                <w:color w:val="FFFFFF" w:themeColor="background1"/>
                <w:lang w:eastAsia="fr-FR"/>
              </w:rPr>
            </w:pPr>
            <w:r>
              <w:rPr>
                <w:rFonts w:eastAsia="Times New Roman" w:cs="Calibri"/>
                <w:b/>
                <w:bCs/>
                <w:color w:val="FFFFFF" w:themeColor="background1"/>
                <w:lang w:eastAsia="fr-FR"/>
              </w:rPr>
              <w:t>13</w:t>
            </w:r>
          </w:p>
        </w:tc>
      </w:tr>
      <w:tr w:rsidR="00244AB1" w:rsidRPr="00D16330" w:rsidTr="005714B9">
        <w:trPr>
          <w:trHeight w:val="300"/>
        </w:trPr>
        <w:tc>
          <w:tcPr>
            <w:tcW w:w="1200" w:type="dxa"/>
            <w:tcBorders>
              <w:top w:val="nil"/>
              <w:left w:val="single" w:sz="4" w:space="0" w:color="auto"/>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sidRPr="00D16330">
              <w:rPr>
                <w:rFonts w:eastAsia="Times New Roman" w:cs="Calibri"/>
                <w:b/>
                <w:bCs/>
                <w:noProof/>
                <w:color w:val="FFFFFF" w:themeColor="background1"/>
                <w:lang w:eastAsia="fr-FR"/>
              </w:rPr>
              <w:t>Section300</w:t>
            </w:r>
          </w:p>
        </w:tc>
        <w:tc>
          <w:tcPr>
            <w:tcW w:w="7200" w:type="dxa"/>
            <w:tcBorders>
              <w:top w:val="nil"/>
              <w:left w:val="nil"/>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Pr>
                <w:rFonts w:eastAsia="Times New Roman" w:cs="Calibri"/>
                <w:b/>
                <w:bCs/>
                <w:color w:val="FFFFFF" w:themeColor="background1"/>
                <w:lang w:eastAsia="fr-FR"/>
              </w:rPr>
              <w:t>TEXTES LEGAUX ET REGLEMENTAIRES</w:t>
            </w:r>
          </w:p>
        </w:tc>
        <w:tc>
          <w:tcPr>
            <w:tcW w:w="1200" w:type="dxa"/>
            <w:tcBorders>
              <w:top w:val="nil"/>
              <w:left w:val="nil"/>
              <w:bottom w:val="single" w:sz="4" w:space="0" w:color="auto"/>
              <w:right w:val="single" w:sz="4" w:space="0" w:color="auto"/>
            </w:tcBorders>
            <w:shd w:val="clear" w:color="auto" w:fill="002060"/>
            <w:vAlign w:val="center"/>
          </w:tcPr>
          <w:p w:rsidR="00244AB1" w:rsidRPr="00D16330" w:rsidRDefault="00244AB1" w:rsidP="005714B9">
            <w:pPr>
              <w:jc w:val="center"/>
              <w:rPr>
                <w:rFonts w:eastAsia="Times New Roman" w:cs="Calibri"/>
                <w:b/>
                <w:bCs/>
                <w:color w:val="FFFFFF" w:themeColor="background1"/>
                <w:lang w:eastAsia="fr-FR"/>
              </w:rPr>
            </w:pPr>
            <w:r>
              <w:rPr>
                <w:rFonts w:eastAsia="Times New Roman" w:cs="Calibri"/>
                <w:b/>
                <w:bCs/>
                <w:color w:val="FFFFFF" w:themeColor="background1"/>
                <w:lang w:eastAsia="fr-FR"/>
              </w:rPr>
              <w:t>14</w:t>
            </w:r>
          </w:p>
        </w:tc>
      </w:tr>
      <w:tr w:rsidR="00244AB1" w:rsidRPr="00B40264" w:rsidTr="005714B9">
        <w:trPr>
          <w:trHeight w:val="300"/>
        </w:trPr>
        <w:tc>
          <w:tcPr>
            <w:tcW w:w="1200" w:type="dxa"/>
            <w:tcBorders>
              <w:top w:val="nil"/>
              <w:left w:val="single" w:sz="4" w:space="0" w:color="auto"/>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sidRPr="00D16330">
              <w:rPr>
                <w:rFonts w:eastAsia="Times New Roman" w:cs="Calibri"/>
                <w:b/>
                <w:bCs/>
                <w:noProof/>
                <w:color w:val="FFFFFF" w:themeColor="background1"/>
                <w:lang w:eastAsia="fr-FR"/>
              </w:rPr>
              <w:t>Section 400</w:t>
            </w:r>
          </w:p>
        </w:tc>
        <w:tc>
          <w:tcPr>
            <w:tcW w:w="7200" w:type="dxa"/>
            <w:tcBorders>
              <w:top w:val="nil"/>
              <w:left w:val="nil"/>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Pr>
                <w:rFonts w:eastAsia="Times New Roman" w:cs="Calibri"/>
                <w:b/>
                <w:bCs/>
                <w:color w:val="FFFFFF" w:themeColor="background1"/>
                <w:lang w:eastAsia="fr-FR"/>
              </w:rPr>
              <w:t>FORMULAIRES EDOSSIER CONCERNES</w:t>
            </w:r>
          </w:p>
        </w:tc>
        <w:tc>
          <w:tcPr>
            <w:tcW w:w="1200" w:type="dxa"/>
            <w:tcBorders>
              <w:top w:val="nil"/>
              <w:left w:val="nil"/>
              <w:bottom w:val="single" w:sz="4" w:space="0" w:color="auto"/>
              <w:right w:val="single" w:sz="4" w:space="0" w:color="auto"/>
            </w:tcBorders>
            <w:shd w:val="clear" w:color="auto" w:fill="002060"/>
            <w:vAlign w:val="center"/>
          </w:tcPr>
          <w:p w:rsidR="00244AB1" w:rsidRPr="00D16330" w:rsidRDefault="00244AB1" w:rsidP="005714B9">
            <w:pPr>
              <w:jc w:val="center"/>
              <w:rPr>
                <w:rFonts w:eastAsia="Times New Roman" w:cs="Calibri"/>
                <w:b/>
                <w:bCs/>
                <w:color w:val="FFFFFF" w:themeColor="background1"/>
                <w:lang w:eastAsia="fr-FR"/>
              </w:rPr>
            </w:pPr>
            <w:r>
              <w:rPr>
                <w:rFonts w:eastAsia="Times New Roman" w:cs="Calibri"/>
                <w:b/>
                <w:bCs/>
                <w:color w:val="FFFFFF" w:themeColor="background1"/>
                <w:lang w:eastAsia="fr-FR"/>
              </w:rPr>
              <w:t>14</w:t>
            </w:r>
          </w:p>
        </w:tc>
      </w:tr>
      <w:tr w:rsidR="00244AB1" w:rsidRPr="00B40264" w:rsidTr="005714B9">
        <w:trPr>
          <w:trHeight w:val="300"/>
        </w:trPr>
        <w:tc>
          <w:tcPr>
            <w:tcW w:w="1200" w:type="dxa"/>
            <w:tcBorders>
              <w:top w:val="nil"/>
              <w:left w:val="single" w:sz="4" w:space="0" w:color="auto"/>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sidRPr="00D16330">
              <w:rPr>
                <w:rFonts w:eastAsia="Times New Roman" w:cs="Calibri"/>
                <w:b/>
                <w:bCs/>
                <w:noProof/>
                <w:color w:val="FFFFFF" w:themeColor="background1"/>
                <w:lang w:eastAsia="fr-FR"/>
              </w:rPr>
              <w:t>Section 500</w:t>
            </w:r>
          </w:p>
        </w:tc>
        <w:tc>
          <w:tcPr>
            <w:tcW w:w="7200" w:type="dxa"/>
            <w:tcBorders>
              <w:top w:val="nil"/>
              <w:left w:val="nil"/>
              <w:bottom w:val="single" w:sz="4" w:space="0" w:color="auto"/>
              <w:right w:val="single" w:sz="4" w:space="0" w:color="auto"/>
            </w:tcBorders>
            <w:shd w:val="clear" w:color="auto" w:fill="002060"/>
            <w:vAlign w:val="center"/>
            <w:hideMark/>
          </w:tcPr>
          <w:p w:rsidR="00244AB1" w:rsidRPr="00D16330" w:rsidRDefault="00244AB1" w:rsidP="005714B9">
            <w:pPr>
              <w:jc w:val="left"/>
              <w:rPr>
                <w:rFonts w:eastAsia="Times New Roman" w:cs="Calibri"/>
                <w:b/>
                <w:bCs/>
                <w:color w:val="FFFFFF" w:themeColor="background1"/>
                <w:lang w:eastAsia="fr-FR"/>
              </w:rPr>
            </w:pPr>
            <w:r>
              <w:rPr>
                <w:rFonts w:eastAsia="Times New Roman" w:cs="Calibri"/>
                <w:b/>
                <w:bCs/>
                <w:color w:val="FFFFFF" w:themeColor="background1"/>
                <w:lang w:eastAsia="fr-FR"/>
              </w:rPr>
              <w:t>RESSOURCES DE L’INTRANET</w:t>
            </w:r>
          </w:p>
        </w:tc>
        <w:tc>
          <w:tcPr>
            <w:tcW w:w="1200" w:type="dxa"/>
            <w:tcBorders>
              <w:top w:val="nil"/>
              <w:left w:val="nil"/>
              <w:bottom w:val="single" w:sz="4" w:space="0" w:color="auto"/>
              <w:right w:val="single" w:sz="4" w:space="0" w:color="auto"/>
            </w:tcBorders>
            <w:shd w:val="clear" w:color="auto" w:fill="002060"/>
            <w:vAlign w:val="center"/>
          </w:tcPr>
          <w:p w:rsidR="00244AB1" w:rsidRPr="00D16330" w:rsidRDefault="00244AB1" w:rsidP="005714B9">
            <w:pPr>
              <w:jc w:val="center"/>
              <w:rPr>
                <w:rFonts w:eastAsia="Times New Roman" w:cs="Calibri"/>
                <w:b/>
                <w:bCs/>
                <w:color w:val="FFFFFF" w:themeColor="background1"/>
                <w:lang w:eastAsia="fr-FR"/>
              </w:rPr>
            </w:pPr>
            <w:r>
              <w:rPr>
                <w:rFonts w:eastAsia="Times New Roman" w:cs="Calibri"/>
                <w:b/>
                <w:bCs/>
                <w:color w:val="FFFFFF" w:themeColor="background1"/>
                <w:lang w:eastAsia="fr-FR"/>
              </w:rPr>
              <w:t>14</w:t>
            </w:r>
          </w:p>
        </w:tc>
      </w:tr>
    </w:tbl>
    <w:p w:rsidR="00244AB1" w:rsidRDefault="00244AB1" w:rsidP="00244AB1">
      <w:pPr>
        <w:pStyle w:val="CACCorps"/>
      </w:pPr>
    </w:p>
    <w:p w:rsidR="00244AB1" w:rsidRDefault="00244AB1" w:rsidP="00244AB1">
      <w:pPr>
        <w:pStyle w:val="CACTitre2"/>
        <w:numPr>
          <w:ilvl w:val="0"/>
          <w:numId w:val="0"/>
        </w:numPr>
        <w:ind w:left="792"/>
      </w:pPr>
      <w:bookmarkStart w:id="3" w:name="_Toc452390669"/>
      <w:r>
        <w:t>Chapitre 2411 – Introduction au marché réglementé actions</w:t>
      </w:r>
      <w:bookmarkEnd w:id="3"/>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SOURCE DES TEXTES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REPRESENTATION SCHEMATIQUE DU PROCESSUS DE TRANSPOSITION DES DIRECTIVES EUROPEENNES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 REGLEMENT GENERAL ET LA DOCTRINE DE L’AUTORITE DES MARCHES FINANCIERS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LES MARCHES FINANCIERS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 MODE D’ORGANISATION DES MARCHES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 MARCHE REGLEMENTE EURONEXT PARIS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LES MARCHES NON REGLEMENTES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 MARCHE ALTERNEXT</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 MARCHE LIBRE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LES ORGANES DE SURVEILLANCE DES MARCHES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L’AUTORITE DES MARCHES FINANCIERS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LA SURVEILLANCE AU NIVEAU EUROPEEN : L’EUROPEAN SECURITIES AND MARKETS AUTHORITY (« ESMA »)</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LA SURVEILLANCE AU NIVEAU INTERNATIONAL : L’INTERNATIONAL ORGANIZATION OF SECURITIES COMMISSION (« IOSCO »)</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L’AUTORITE DE CONTROLE PRUDENTIEL</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L’ORGANISATION DE LA PROFESSION</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 HAUT CONSEIL DU COMMISSARIAT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 DEPARTEMENT DES MARCHES FINANCIERS DE LA CNCC</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w:t>
            </w:r>
          </w:p>
        </w:tc>
      </w:tr>
    </w:tbl>
    <w:p w:rsidR="00244AB1" w:rsidRDefault="00244AB1" w:rsidP="00244AB1">
      <w:pPr>
        <w:pStyle w:val="CACCorps"/>
      </w:pPr>
    </w:p>
    <w:p w:rsidR="00244AB1" w:rsidRDefault="00244AB1">
      <w:pPr>
        <w:jc w:val="left"/>
      </w:pPr>
      <w:r>
        <w:br w:type="page"/>
      </w:r>
    </w:p>
    <w:p w:rsidR="00244AB1" w:rsidRDefault="00244AB1" w:rsidP="00244AB1">
      <w:pPr>
        <w:pStyle w:val="CACCorps"/>
      </w:pPr>
    </w:p>
    <w:p w:rsidR="00244AB1" w:rsidRDefault="00244AB1" w:rsidP="00244AB1">
      <w:pPr>
        <w:pStyle w:val="CACTitre2"/>
        <w:numPr>
          <w:ilvl w:val="0"/>
          <w:numId w:val="0"/>
        </w:numPr>
        <w:ind w:left="792"/>
      </w:pPr>
      <w:bookmarkStart w:id="4" w:name="_Toc452390670"/>
      <w:r>
        <w:t>Chapitre 2412 – Acceptation de la mission / nomination / renouvellement / cessation des fonctions</w:t>
      </w:r>
      <w:bookmarkEnd w:id="4"/>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PHASE D’ACCEPTATION DE LA MISSION / NOMINATION / RENOUVELLEMENT</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INFORMATION DE L’AMF EN CAS DE NOMINATION OU DE RENOUVELLEMENT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LUTTE CONTRE LE BLANCHIMENT DE CAPITAUX ET LE FINANCEMENT DU TERRORISME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LETTRE DE MISSION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ROTATION DES ASSOCIES SIGNATAIRES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CESSATION DES FONCTIONS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PROCEDURE DE RECUSATION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8</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8</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DEMANDE DE RELEVEMENT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8</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8</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lastRenderedPageBreak/>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INFORMATION DE L’AMF DE LA DEMISSION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10</w:t>
            </w:r>
          </w:p>
        </w:tc>
      </w:tr>
    </w:tbl>
    <w:p w:rsidR="00244AB1" w:rsidRDefault="00244AB1" w:rsidP="00244AB1">
      <w:pPr>
        <w:pStyle w:val="CACCorps"/>
      </w:pPr>
    </w:p>
    <w:p w:rsidR="00244AB1" w:rsidRDefault="00244AB1" w:rsidP="00244AB1">
      <w:pPr>
        <w:pStyle w:val="CACCorps"/>
      </w:pPr>
    </w:p>
    <w:p w:rsidR="00244AB1" w:rsidRDefault="00244AB1" w:rsidP="00244AB1">
      <w:pPr>
        <w:pStyle w:val="CACTitre2"/>
        <w:numPr>
          <w:ilvl w:val="0"/>
          <w:numId w:val="0"/>
        </w:numPr>
        <w:ind w:left="792"/>
      </w:pPr>
      <w:bookmarkStart w:id="5" w:name="_Toc452390671"/>
      <w:r>
        <w:t>Chapitre 2413 – Obligations permanentes du commissaire aux comptes</w:t>
      </w:r>
      <w:bookmarkEnd w:id="5"/>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RELATIONS AVEC LES AUTORITES DE SURVEILLANCE OU DE CONTROLE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4</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RELATIONS AVEC LE H3C – CONTROLE QUALITE TRIENNAL, ACCORD D’ECHANGE D’INFORMATIONS ET DE COOPERATION H3C/AMF, ACCORD H3C/ACP</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RELATIONS AVEC LE H3C - COTISATION ADDITIONNELLE DE 0,68 % DES HONORAIRES DES MANDATS EIP</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RELATIONS AVEC L’AMF</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RELATIONS AVEC L’ENTITE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INDEPENDANCE ET RELATIONS AVEC LE COMITE SPECIALISE (COMITE D’AUDIT)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lastRenderedPageBreak/>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RELATIONS AVEC LES ORGANES VISES A L’ARTICLE L. 823</w:t>
            </w:r>
            <w:r w:rsidRPr="006426C5">
              <w:rPr>
                <w:rFonts w:eastAsia="Times New Roman" w:cs="Calibri"/>
                <w:b/>
                <w:bCs/>
                <w:noProof/>
                <w:color w:val="000000"/>
                <w:lang w:eastAsia="fr-FR"/>
              </w:rPr>
              <w:noBreakHyphen/>
              <w:t>16 DU CODE DE COMMERCE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RELATIONS AVEC LES ACTIONNAIRES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AUTRES POINTS DE VIGILANCE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DATE DE MISE A DISPOSITION ET DE PUBLICATION DES RAPPORTS DES COMMISSAIRES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ALERTE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15</w:t>
            </w:r>
          </w:p>
        </w:tc>
      </w:tr>
      <w:tr w:rsidR="00244AB1" w:rsidRPr="006426C5" w:rsidTr="005714B9">
        <w:trPr>
          <w:trHeight w:val="12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DELITS PROPRES A LA MISSION DU COMMISSAIRE AUX COMPTES AUPRES D’UNE SOCIETE DONT LES ACTIONS SONT ADMISES AUX NEGOCIATIONS SUR LES MARCHES REGLEMENTES – Fausse information, opérations d’initiés et manipulation de cours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Sanctions applicables aux infractions développées ci-dessus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LISTE D’INITIES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19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lastRenderedPageBreak/>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MARCHE REGLEMENTE : COMPARTIMENT D’EURONEXT DESTINE AUX ADMISSIONS SANS OFFRE PREALABLE AU PUBLIC</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5.3.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5.4.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DIFFUSION DE L’INFORMATION REGLEMENTEE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6.1.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6.3.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6.4.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bCs/>
                <w:noProof/>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color w:val="000000"/>
                <w:lang w:eastAsia="fr-FR"/>
              </w:rPr>
              <w:t>24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RAPPORT DE TRANSPARENCE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25</w:t>
            </w:r>
          </w:p>
        </w:tc>
      </w:tr>
    </w:tbl>
    <w:p w:rsidR="00244AB1" w:rsidRDefault="00244AB1" w:rsidP="00244AB1">
      <w:pPr>
        <w:pStyle w:val="CACCorps"/>
      </w:pPr>
    </w:p>
    <w:p w:rsidR="00244AB1" w:rsidRDefault="00244AB1" w:rsidP="00244AB1">
      <w:pPr>
        <w:pStyle w:val="CACCorps"/>
      </w:pPr>
    </w:p>
    <w:p w:rsidR="00244AB1" w:rsidRDefault="00244AB1" w:rsidP="00244AB1">
      <w:pPr>
        <w:pStyle w:val="CACTitre2"/>
        <w:numPr>
          <w:ilvl w:val="0"/>
          <w:numId w:val="0"/>
        </w:numPr>
        <w:ind w:left="792"/>
      </w:pPr>
      <w:bookmarkStart w:id="6" w:name="_Toc452390672"/>
      <w:r>
        <w:t>Chapitre 2414 – Interventions périodiques du commissaire aux comptes</w:t>
      </w:r>
      <w:bookmarkEnd w:id="6"/>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E77C76" w:rsidRPr="00E77C76" w:rsidTr="00E77C76">
        <w:trPr>
          <w:cantSplit/>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E77C76" w:rsidRPr="00E77C76" w:rsidRDefault="00E77C76" w:rsidP="00E77C76">
            <w:pPr>
              <w:jc w:val="center"/>
              <w:rPr>
                <w:rFonts w:eastAsia="Times New Roman" w:cs="Times New Roman"/>
                <w:b/>
                <w:bCs/>
                <w:color w:val="000000"/>
                <w:lang w:eastAsia="fr-FR"/>
              </w:rPr>
            </w:pPr>
            <w:bookmarkStart w:id="7" w:name="_GoBack"/>
            <w:r w:rsidRPr="00E77C76">
              <w:rPr>
                <w:rFonts w:eastAsia="Times New Roman" w:cs="Times New Roman"/>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Page</w:t>
            </w:r>
          </w:p>
        </w:tc>
      </w:tr>
      <w:bookmarkEnd w:id="7"/>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INTERVENTIONS RELATIVES A L’INFORMATION FINANCIERE ANNUELLE</w:t>
            </w:r>
          </w:p>
        </w:tc>
        <w:tc>
          <w:tcPr>
            <w:tcW w:w="1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center"/>
              <w:rPr>
                <w:rFonts w:eastAsia="Times New Roman" w:cs="Times New Roman"/>
                <w:b/>
                <w:bCs/>
                <w:color w:val="FFFFFF"/>
                <w:lang w:eastAsia="fr-FR"/>
              </w:rPr>
            </w:pPr>
            <w:r w:rsidRPr="00E77C76">
              <w:rPr>
                <w:rFonts w:eastAsia="Times New Roman" w:cs="Times New Roman"/>
                <w:b/>
                <w:bCs/>
                <w:color w:val="FFFFFF"/>
                <w:lang w:eastAsia="fr-FR"/>
              </w:rPr>
              <w:t>3</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INFORMATION ANNUELLE AYANT UN IMPACT SUR LA MISSION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COMPTES ANNUELS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COMPTES CONSOLIDES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4</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RAPPORT FINANCIER ANNUEL</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5</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DOCUMENT DE REFERENCE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6</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1.5.</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RAPPORT DE GESTION</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9</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1.6.</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RAPPORT DE GESTION – REMUNERATIONS DES DIRIGEANTS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11</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1.7.</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RAPPORT DE GESTION – INFORMATION EN MATIERE SOCIALE ET ENVIRONNEMENTALE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18</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1.8.</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ENGAGEMENTS REGLEMENTES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20</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1.9.</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PUBLICATION DES HONORAIRES DES COMMISSAIRES AUX COMPTES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22</w:t>
            </w:r>
          </w:p>
        </w:tc>
      </w:tr>
      <w:tr w:rsidR="00E77C76" w:rsidRPr="00E77C76" w:rsidTr="00E77C76">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1.10.</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RAPPORT DU PRESIDENT DU CONSEIL D’ADMINISTRATION / DE SURVEILLANCE SUR LE CONTROLE INTERNE, LA GESTION DES RISQUES ET LE GOUVERNEMENT D’ENTREPRISE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23</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lastRenderedPageBreak/>
              <w:t>2.</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INFORMATION ANNUELLE SANS IMPACT SUR LA MISSION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25</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INFORMATION RELATIVE AU NOMBRE TOTAL DE DROITS DE VOTE ET AU NOMBRE D’ACTIONS COMPOSANT LE CAPITAL SOCIAL</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25</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DESCRIPTIF DES PROGRAMMES DE RACHAT D’ACTIONS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26</w:t>
            </w:r>
          </w:p>
        </w:tc>
      </w:tr>
      <w:tr w:rsidR="00E77C76" w:rsidRPr="00E77C76" w:rsidTr="00E77C76">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COMMUNIQUE PRECISANT LES MODALITES DE MISE A DISPOSITION OU DE CONSULTATION DES INFORMATIONS MENTIONNEES A L’ARTICLE R. 225-83 DU CODE DE COMMERCE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27</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INTERVENTION RELATIVE A L’INFORMATION FINANCIERE SEMESTRIELLE PUBLIEE</w:t>
            </w:r>
          </w:p>
        </w:tc>
        <w:tc>
          <w:tcPr>
            <w:tcW w:w="1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center"/>
              <w:rPr>
                <w:rFonts w:eastAsia="Times New Roman" w:cs="Times New Roman"/>
                <w:b/>
                <w:bCs/>
                <w:color w:val="FFFFFF"/>
                <w:lang w:eastAsia="fr-FR"/>
              </w:rPr>
            </w:pPr>
            <w:r w:rsidRPr="00E77C76">
              <w:rPr>
                <w:rFonts w:eastAsia="Times New Roman" w:cs="Times New Roman"/>
                <w:b/>
                <w:bCs/>
                <w:color w:val="FFFFFF"/>
                <w:lang w:eastAsia="fr-FR"/>
              </w:rPr>
              <w:t>29</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RAPPORT FINANCIER SEMESTRIEL</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29</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29</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29</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29</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30</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INTERVENTION RELATIVE A L’INFORMATION FINANCIERE TRIMESTRIELLE PUBLIEE</w:t>
            </w:r>
          </w:p>
        </w:tc>
        <w:tc>
          <w:tcPr>
            <w:tcW w:w="1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center"/>
              <w:rPr>
                <w:rFonts w:eastAsia="Times New Roman" w:cs="Times New Roman"/>
                <w:b/>
                <w:bCs/>
                <w:color w:val="FFFFFF"/>
                <w:lang w:eastAsia="fr-FR"/>
              </w:rPr>
            </w:pPr>
            <w:r w:rsidRPr="00E77C76">
              <w:rPr>
                <w:rFonts w:eastAsia="Times New Roman" w:cs="Times New Roman"/>
                <w:b/>
                <w:bCs/>
                <w:color w:val="FFFFFF"/>
                <w:lang w:eastAsia="fr-FR"/>
              </w:rPr>
              <w:t>30</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INFORMATION FINANCIERE TRIMESTRIELLE</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30</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Textes de référence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30</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30</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31</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Outils disponibles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31</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left"/>
              <w:rPr>
                <w:rFonts w:eastAsia="Times New Roman" w:cs="Times New Roman"/>
                <w:b/>
                <w:bCs/>
                <w:color w:val="FFFFFF"/>
                <w:lang w:eastAsia="fr-FR"/>
              </w:rPr>
            </w:pPr>
            <w:r w:rsidRPr="00E77C76">
              <w:rPr>
                <w:rFonts w:eastAsia="Times New Roman" w:cs="Times New Roman"/>
                <w:b/>
                <w:bCs/>
                <w:color w:val="FFFFFF"/>
                <w:lang w:eastAsia="fr-FR"/>
              </w:rPr>
              <w:t>COMMUNIQUES DE LA SOCIETE EMETTRICE</w:t>
            </w:r>
          </w:p>
        </w:tc>
        <w:tc>
          <w:tcPr>
            <w:tcW w:w="1200" w:type="dxa"/>
            <w:tcBorders>
              <w:top w:val="nil"/>
              <w:left w:val="nil"/>
              <w:bottom w:val="single" w:sz="4" w:space="0" w:color="auto"/>
              <w:right w:val="single" w:sz="4" w:space="0" w:color="auto"/>
            </w:tcBorders>
            <w:shd w:val="clear" w:color="000000" w:fill="002060"/>
            <w:vAlign w:val="center"/>
            <w:hideMark/>
          </w:tcPr>
          <w:p w:rsidR="00E77C76" w:rsidRPr="00E77C76" w:rsidRDefault="00E77C76" w:rsidP="00E77C76">
            <w:pPr>
              <w:jc w:val="center"/>
              <w:rPr>
                <w:rFonts w:eastAsia="Times New Roman" w:cs="Times New Roman"/>
                <w:b/>
                <w:bCs/>
                <w:color w:val="FFFFFF"/>
                <w:lang w:eastAsia="fr-FR"/>
              </w:rPr>
            </w:pPr>
            <w:r w:rsidRPr="00E77C76">
              <w:rPr>
                <w:rFonts w:eastAsia="Times New Roman" w:cs="Times New Roman"/>
                <w:b/>
                <w:bCs/>
                <w:color w:val="FFFFFF"/>
                <w:lang w:eastAsia="fr-FR"/>
              </w:rPr>
              <w:t>32</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32</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32</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Communiqué sur les résultats annuels, semestriels, trimestriels et l'information trimestrielle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32</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Information financière diffusée par les entreprises en difficultés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32</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Indicateurs financiers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32</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Franchissements de seuils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33</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Déclarations relatives aux transactions sur les titres d'une société par ses dirigeants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33</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2.6.</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Honoraires des commissaires aux comptes</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33</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2.7.</w:t>
            </w:r>
          </w:p>
        </w:tc>
        <w:tc>
          <w:tcPr>
            <w:tcW w:w="7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rPr>
                <w:rFonts w:eastAsia="Times New Roman" w:cs="Times New Roman"/>
                <w:color w:val="000000"/>
                <w:lang w:eastAsia="fr-FR"/>
              </w:rPr>
            </w:pPr>
            <w:r w:rsidRPr="00E77C76">
              <w:rPr>
                <w:rFonts w:eastAsia="Times New Roman" w:cs="Times New Roman"/>
                <w:color w:val="000000"/>
                <w:lang w:eastAsia="fr-FR"/>
              </w:rPr>
              <w:t>Modalités de mise à disposition ou de consultation des informations mentionnées à  l'article R. 225-83 du code de commerce</w:t>
            </w:r>
          </w:p>
        </w:tc>
        <w:tc>
          <w:tcPr>
            <w:tcW w:w="1200" w:type="dxa"/>
            <w:tcBorders>
              <w:top w:val="nil"/>
              <w:left w:val="nil"/>
              <w:bottom w:val="single" w:sz="4" w:space="0" w:color="auto"/>
              <w:right w:val="single" w:sz="4" w:space="0" w:color="auto"/>
            </w:tcBorders>
            <w:shd w:val="clear" w:color="auto" w:fill="auto"/>
            <w:vAlign w:val="center"/>
            <w:hideMark/>
          </w:tcPr>
          <w:p w:rsidR="00E77C76" w:rsidRPr="00E77C76" w:rsidRDefault="00E77C76" w:rsidP="00E77C76">
            <w:pPr>
              <w:jc w:val="center"/>
              <w:rPr>
                <w:rFonts w:eastAsia="Times New Roman" w:cs="Times New Roman"/>
                <w:color w:val="000000"/>
                <w:lang w:eastAsia="fr-FR"/>
              </w:rPr>
            </w:pPr>
            <w:r w:rsidRPr="00E77C76">
              <w:rPr>
                <w:rFonts w:eastAsia="Times New Roman" w:cs="Times New Roman"/>
                <w:color w:val="000000"/>
                <w:lang w:eastAsia="fr-FR"/>
              </w:rPr>
              <w:t>33</w:t>
            </w:r>
          </w:p>
        </w:tc>
      </w:tr>
      <w:tr w:rsidR="00E77C76" w:rsidRPr="00E77C76" w:rsidTr="00E77C76">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33</w:t>
            </w:r>
          </w:p>
        </w:tc>
      </w:tr>
      <w:tr w:rsidR="00E77C76" w:rsidRPr="00E77C76" w:rsidTr="00E77C76">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left"/>
              <w:rPr>
                <w:rFonts w:eastAsia="Times New Roman" w:cs="Times New Roman"/>
                <w:b/>
                <w:bCs/>
                <w:color w:val="000000"/>
                <w:lang w:eastAsia="fr-FR"/>
              </w:rPr>
            </w:pPr>
            <w:r w:rsidRPr="00E77C76">
              <w:rPr>
                <w:rFonts w:eastAsia="Times New Roman" w:cs="Times New Roman"/>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E77C76" w:rsidRPr="00E77C76" w:rsidRDefault="00E77C76" w:rsidP="00E77C76">
            <w:pPr>
              <w:jc w:val="center"/>
              <w:rPr>
                <w:rFonts w:eastAsia="Times New Roman" w:cs="Times New Roman"/>
                <w:b/>
                <w:bCs/>
                <w:color w:val="000000"/>
                <w:lang w:eastAsia="fr-FR"/>
              </w:rPr>
            </w:pPr>
            <w:r w:rsidRPr="00E77C76">
              <w:rPr>
                <w:rFonts w:eastAsia="Times New Roman" w:cs="Times New Roman"/>
                <w:b/>
                <w:bCs/>
                <w:color w:val="000000"/>
                <w:lang w:eastAsia="fr-FR"/>
              </w:rPr>
              <w:t>33</w:t>
            </w:r>
          </w:p>
        </w:tc>
      </w:tr>
    </w:tbl>
    <w:p w:rsidR="00244AB1" w:rsidRDefault="00244AB1" w:rsidP="00244AB1">
      <w:pPr>
        <w:pStyle w:val="CACCorps"/>
      </w:pPr>
    </w:p>
    <w:p w:rsidR="00E77C76" w:rsidRDefault="00E77C76" w:rsidP="00244AB1">
      <w:pPr>
        <w:pStyle w:val="CACCorps"/>
      </w:pPr>
    </w:p>
    <w:p w:rsidR="00244AB1" w:rsidRDefault="00244AB1">
      <w:pPr>
        <w:jc w:val="left"/>
      </w:pPr>
      <w:r>
        <w:br w:type="page"/>
      </w:r>
    </w:p>
    <w:p w:rsidR="00244AB1" w:rsidRDefault="00244AB1" w:rsidP="00244AB1">
      <w:pPr>
        <w:pStyle w:val="CACCorps"/>
      </w:pPr>
    </w:p>
    <w:p w:rsidR="00244AB1" w:rsidRDefault="00244AB1" w:rsidP="00244AB1">
      <w:pPr>
        <w:pStyle w:val="CACTitre2"/>
        <w:numPr>
          <w:ilvl w:val="0"/>
          <w:numId w:val="0"/>
        </w:numPr>
        <w:ind w:left="792"/>
      </w:pPr>
      <w:bookmarkStart w:id="8" w:name="_Toc452390673"/>
      <w:r>
        <w:t>Chapitre 2415 – Opérations de marché</w:t>
      </w:r>
      <w:bookmarkEnd w:id="8"/>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 </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webHidden/>
                <w:color w:val="FFFFFF"/>
                <w:lang w:eastAsia="fr-FR"/>
              </w:rPr>
              <w:t>AVANT-PROPOS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color w:val="FFFFFF"/>
                <w:lang w:eastAsia="fr-FR"/>
              </w:rPr>
              <w:t>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CADRE GENERAL REGISSANT L’ETABLISSEMENT D’UN PROSPECTUS ET SON CONTROLE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Champ d’application de ce chapitre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Opérations visées par ce chapitre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Opérations non couvertes par ce chapitre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particuliers : documents établis dans le cadre d’opérations de fusion, de scission, d’apport partiel d’actifs ou d’une offre publique d’acquisition (OPA, OPAS, OPE, OPR,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Etablissement d’un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d’établissement d’un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Définitions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Opérations ne nécessitant pas l’établissement d’un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Structure du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Informations contenues dans le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Rôle de l’autorité compétente (AMF)</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Autorité compétente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Dépôt, enregistrement et visa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Synthèse des travaux et rapports du commissaire aux comptes par nature d’informations présentées dans un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Schéma récapitulatif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Lettre de fin de travaux du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Autres rapports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LETTRE DE MISSION</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27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INFORMATIONS FINANCIERES HISTORIQUES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28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des dispositions du règlement prospectus et des recommandations de l’ESMA</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Nombre d’exercices et date des informations financières historiques à présenter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Référentiel à appliquer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Contenu</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Nature des informations historiques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Les informations financières historiques présentées dans le prospectus correspondent à celles qui ont été précédemment publiées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33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Objectifs de l’intervention du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L’émetteur incorpore par référence des informations historiques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L’émetteur ne peut pas ou ne souhaite pas incorporer par référence des informations financières historiques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lastRenderedPageBreak/>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Introduction en bourse sur la base des comptes annuels – Tableau de financement</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34</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Tout ou partie des informations financières historiques présentées dans le prospectus sont différentes des informations financières historiques publiées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36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Introduction en bourse – Application d’un nouveau référentiel</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Changement de méthode comptable ou correction d’erreur donnant lieu à retraitement de l’information comparative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38</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Emetteur disposant de comptes certifiés pour les exercices présentés dans le prospectus mais faisant le choix de présenter un jeu de comptes unique établi selon le même référentiel pour plusieurs exercices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39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Emetteur n’ayant jamais établi de comptes consolidés présentant un jeu de comptes consolidés unique pour plusieurs exercices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Exposé de la situation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Responsabilité de l’établissement du jeu de comptes unique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Date des informations financières historiques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Etats financiers intermédiaires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Historiques financiers complexes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48</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Informations de nature financière non assimilables à des informations financières historiques (au sens du présent chapitre) : le cas des informations trimestrielles chiffrées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7.</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Observations, réserves ou refus mentionnés dans les rapports sur les informations financières historiques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PREVISIONS OU ESTIMATIONS DE BENEFICE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50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des dispositions du règlement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Responsable de l’établissement des prévisions ou des estimations de bénéfice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Définitions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Prévisions de bénéfice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Estimations de bénéfice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Tendances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Objectifs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Perspectives d’avenir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Critères d’analyse de la notion de prévision ou d’estimation de bénéfice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Recommandations de l’ESMA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Position AMF sur les prévisions de bénéfice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Articulation entre les différents vocables relatifs aux informations financières prospectives et la notion de prévisions de bénéfice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du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du document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Précisions apportées sur les conditions d’établissement d’une prévision de bénéfice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lastRenderedPageBreak/>
              <w:t>6.1.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Précisions concernant les hypothèses sous-tendant l’établissement de la prévision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Précisions concernant les paramètres et principes à prendre en compte pour l’élaboration des prévisions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Précisions concernant les informations financières prospectives publiées antérieurement à la date de préparation du prospectus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7.</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Précisions concernant les conditions d’établissement d’une estimation de bénéfice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61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8.</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Intervention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61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8.1.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Objectifs relatifs aux prévisions ou estimations de bénéfice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8.2.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8.3.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Rapport</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8.4.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particulier des prospectus incluant des données financières estimées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INFORMATIONS FINANCIERES PRO FORMA</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71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Objectif des informations financières pro forma</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du cadre réglementaire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Les textes applicables en matière d’informations financières pro forma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Responsable de l’établissement des informations financières pro forma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Quel commissaire aux comptes établit le rapport sur les informations financières pro forma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Eléments justifiant la présentation d’informations financières pro forma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particuliers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Présentation des informations financières pro forma</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80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Nature des informations pro forma : comptes pro forma ou informations financières pro forma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Conventions de présentation des informations financières pro forma : distinction Bilan et Compte de résultat</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Dates des informations financières pro forma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Format des colonnes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Notes explicatives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3.6.</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Ajustements pro forma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85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Intervention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90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Objectifs de l’intervention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91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91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Rapport</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95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600.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DECLARATIONS DE L’EMETTEUR SUR LE FONDS DE ROULEMENT NET ET SUR LE NIVEAU DES CAPITAUX PROPRES ET DE L’ENDETTEMENT</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96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Vérifications particulières du commissaire aux comptes sur la déclaration sur le fonds de roulement net contenue dans une note d’opération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97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Rappel des textes applicables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97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Précisions relatives à la déclaration sur le fonds de roulement net - Rappel du contenu du communiqué de l’AMF du 9 novembre 2005</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Nature des diligences mises en œuvre par le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lastRenderedPageBreak/>
              <w:t>1.4.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particuliers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102</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Vérifications particulières du commissaire aux comptes sur la déclaration sur le niveau des capitaux propres et de l’endettement contenue dans une note d’opération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Rappel des textes applicables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Nature des diligences mises en œuvre par le commissaire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Cas particuliers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Compte rendu des vérifications dans la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Limitation à l’étendue des travaux</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Désaccord</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Insuffisance de fonds de roulement net dans les douze mois à venir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700.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INFORMATIONS SUR LA SITUATION FINANCIERE ET LES COMPTES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115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Informations sur la situation financière et les comptes donnant lieu à une vérification de concordance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 xml:space="preserve">Diligences relatives aux informations sur la situation financière et les comptes </w:t>
            </w:r>
            <w:proofErr w:type="spellStart"/>
            <w:r w:rsidRPr="006426C5">
              <w:rPr>
                <w:rFonts w:eastAsia="Times New Roman" w:cs="Calibri"/>
                <w:b/>
                <w:bCs/>
                <w:color w:val="000000"/>
                <w:lang w:eastAsia="fr-FR"/>
              </w:rPr>
              <w:t>rapprochables</w:t>
            </w:r>
            <w:proofErr w:type="spellEnd"/>
            <w:r w:rsidRPr="006426C5">
              <w:rPr>
                <w:rFonts w:eastAsia="Times New Roman" w:cs="Calibri"/>
                <w:b/>
                <w:bCs/>
                <w:color w:val="000000"/>
                <w:lang w:eastAsia="fr-FR"/>
              </w:rPr>
              <w:t xml:space="preserve"> de « comptes » ayant fait l’objet d’un rapport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800.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LECTURE D’ENSEMBLE DU PROSPECTUS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Objectifs de la lecture d’ensemble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Périmètre de la lecture d’ensemble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Diligences du commissaire aux comptes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Autres informations contenues dans le prospectus visées par le II de l’article 212-15 du règlement général de l’AMF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Attestation du responsable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Matérialisation de la lecture d’ensemble dans la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900.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EVENEMENTS POSTERIEURS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123</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Incidence des évènements postérieurs survenus entre la date du rapport sur les informations financières historiques les plus récentes et la date de la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123</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Incidence des évènements postérieurs survenus entre la date de la lettre de fin de travaux et la date de la clôture de l’offre ou du début de la négociation sur le marché réglementé</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LETTRE D’AFFIRMATION</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125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LETTRE DE FIN DE TRAVAUX</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126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des textes applicables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Conditions pour l’établissement de la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Cas particuliers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Prospectus établi sous la forme d’un document unique, document de base, document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lastRenderedPageBreak/>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Actualisation et rectification du document de référence ou document de base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128</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Prospectus composé de plusieurs documents distincts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Exception à l’établissement d’une lettre de fin de travaux pour un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Autres cas d’établissement d’une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Documents établis à l’occasion d’opérations de fusion, de scission ou d’apports partiels d’actifs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5.2.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Autres informations déposées à l’AMF dans le cadre d’une offre publique d’acquisition (OPA, OPAS, OPE, OPR, garanties de cours…)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CAS D’UNE PREMIERE INTERVENTION DU COMMISSAIRE AUX COMPTES COMMENCANT PAR LE CONTROLE D’UN PROSPECTUS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Etablissement de la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Etablissement des rapports inclus dans le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EXEMPLES DE LETTRE DE MISSION</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EXEMPLES DE RAPPORTS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1500.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EXEMPLES DE LETTRE DE FIN DE TRAVAUX</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1600.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EXEMPLES DE LETTRE D’AFFIRMATION</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1700.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EMETTEURS ETRANGERS – INTERVENTION D’UN COMMISSAIRE AUX COMPTES SUR LA TRADUCTION EN FRANÇAIS DES ETATS FINANCIERS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1800.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ANNEXES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Les schémas de prospectus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Tableau de synthèse - Cas nécessitant l’établissement d’une lettre de fin de travaux</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Tableau de synthèse des obligations lors d’une offre au public et/ou d’une demande d’admission sur un marché réglementé ou non – Titres de capital</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139</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Tableau de synthèse des obligations lors d’une offre au public et/ou d’une demande d’admission sur un marché réglementé ou non – Titres de créance de valeur nominale unitaire &lt; 100 000 euros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140</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Tableau de synthèse des obligations lors d’une offre au public et/ou d’une demande d’admission sur un marché réglementé ou non – Titres de créance de valeur nominale unitaire &gt; 100 000 euros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142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Sources et lien Internet de la documentation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143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Directives 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Règlement 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Règlement 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Instructions 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Positions 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6.6.</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Positions recommandations 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val="en-US" w:eastAsia="fr-FR"/>
              </w:rPr>
              <w:lastRenderedPageBreak/>
              <w:t>6.7.</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proofErr w:type="spellStart"/>
            <w:r w:rsidRPr="006426C5">
              <w:rPr>
                <w:rFonts w:eastAsia="Times New Roman" w:cs="Calibri"/>
                <w:color w:val="000000"/>
                <w:lang w:val="en-US" w:eastAsia="fr-FR"/>
              </w:rPr>
              <w:t>Reco</w:t>
            </w:r>
            <w:proofErr w:type="spellEnd"/>
            <w:r w:rsidRPr="006426C5">
              <w:rPr>
                <w:rFonts w:eastAsia="Times New Roman" w:cs="Calibri"/>
                <w:color w:val="000000"/>
                <w:lang w:val="en-US" w:eastAsia="fr-FR"/>
              </w:rPr>
              <w:t xml:space="preserve"> ESMA (</w:t>
            </w:r>
            <w:proofErr w:type="spellStart"/>
            <w:r w:rsidRPr="006426C5">
              <w:rPr>
                <w:rFonts w:eastAsia="Times New Roman" w:cs="Calibri"/>
                <w:color w:val="000000"/>
                <w:lang w:val="en-US" w:eastAsia="fr-FR"/>
              </w:rPr>
              <w:t>anciennement</w:t>
            </w:r>
            <w:proofErr w:type="spellEnd"/>
            <w:r w:rsidRPr="006426C5">
              <w:rPr>
                <w:rFonts w:eastAsia="Times New Roman" w:cs="Calibri"/>
                <w:color w:val="000000"/>
                <w:lang w:val="en-US" w:eastAsia="fr-FR"/>
              </w:rPr>
              <w:t xml:space="preserve"> CESR)</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6.8.</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NEP</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6.9.</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Notes d’information CNCC</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6.10.</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Communiqués CNCC/AMF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val="en-US" w:eastAsia="fr-FR"/>
              </w:rPr>
              <w:t>6.11.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val="en-US" w:eastAsia="fr-FR"/>
              </w:rPr>
              <w:t>ISA</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145</w:t>
            </w:r>
          </w:p>
        </w:tc>
      </w:tr>
    </w:tbl>
    <w:p w:rsidR="00244AB1" w:rsidRDefault="00244AB1" w:rsidP="00244AB1">
      <w:pPr>
        <w:pStyle w:val="CACCorps"/>
      </w:pPr>
    </w:p>
    <w:p w:rsidR="00244AB1" w:rsidRDefault="00244AB1" w:rsidP="00244AB1">
      <w:pPr>
        <w:pStyle w:val="CACCorps"/>
      </w:pPr>
    </w:p>
    <w:p w:rsidR="00244AB1" w:rsidRDefault="00244AB1" w:rsidP="00244AB1">
      <w:pPr>
        <w:pStyle w:val="CACTitre2"/>
        <w:numPr>
          <w:ilvl w:val="0"/>
          <w:numId w:val="0"/>
        </w:numPr>
        <w:ind w:left="792"/>
      </w:pPr>
      <w:bookmarkStart w:id="9" w:name="_Toc452390674"/>
      <w:r>
        <w:t>Chapitre 2416 – Focus sur d’autres mises en situation non récurrentes</w:t>
      </w:r>
      <w:bookmarkEnd w:id="9"/>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PREVISIONS OU ESTIMATIONS DE BENEFICE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INFORMATION PRO FORMA</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Dans le cadre d'un prospectus ou d'un document de référence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Dans le cadre de l'information périodique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Dans le cadre de l'établissement d'un prospectus (ou document de référence) pour une émission d'actions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Dans le cadre de l'information périodique donnée par un émetteur, dont les actions sont déjà admises aux négociations sur un marché réglementé</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Dans le cas de l'incorporation du rapport financier dans un prospectus ou un document de référence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6</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 xml:space="preserve">Dans le cas où les informations pro </w:t>
            </w:r>
            <w:proofErr w:type="gramStart"/>
            <w:r w:rsidRPr="006426C5">
              <w:rPr>
                <w:rFonts w:eastAsia="Times New Roman" w:cs="Calibri"/>
                <w:color w:val="000000"/>
                <w:lang w:eastAsia="fr-FR"/>
              </w:rPr>
              <w:t>forma</w:t>
            </w:r>
            <w:proofErr w:type="gramEnd"/>
            <w:r w:rsidRPr="006426C5">
              <w:rPr>
                <w:rFonts w:eastAsia="Times New Roman" w:cs="Calibri"/>
                <w:color w:val="000000"/>
                <w:lang w:eastAsia="fr-FR"/>
              </w:rPr>
              <w:t xml:space="preserve"> sont fournies en dehors des comptes dans le prospectus ou le document de référence, les commissaires aux comptes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 xml:space="preserve">Dans le cas où les informations pro </w:t>
            </w:r>
            <w:proofErr w:type="gramStart"/>
            <w:r w:rsidRPr="006426C5">
              <w:rPr>
                <w:rFonts w:eastAsia="Times New Roman" w:cs="Calibri"/>
                <w:color w:val="000000"/>
                <w:lang w:eastAsia="fr-FR"/>
              </w:rPr>
              <w:t>forma</w:t>
            </w:r>
            <w:proofErr w:type="gramEnd"/>
            <w:r w:rsidRPr="006426C5">
              <w:rPr>
                <w:rFonts w:eastAsia="Times New Roman" w:cs="Calibri"/>
                <w:color w:val="000000"/>
                <w:lang w:eastAsia="fr-FR"/>
              </w:rPr>
              <w:t xml:space="preserve"> complémentaires sont incluses dans les notes annexes des comptes consolidés faisant l'objet de la certification des commissaires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OPERATIONS SUR LE CAPITAL - RESOLUTIONS « HABITUELLES » AUX AGE</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lastRenderedPageBreak/>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CNCC</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AMF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AFEP-MEDEF</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proofErr w:type="spellStart"/>
            <w:r w:rsidRPr="006426C5">
              <w:rPr>
                <w:rFonts w:eastAsia="Times New Roman" w:cs="Calibri"/>
                <w:color w:val="000000"/>
                <w:lang w:eastAsia="fr-FR"/>
              </w:rPr>
              <w:t>MiddleNext</w:t>
            </w:r>
            <w:proofErr w:type="spellEnd"/>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FRANCHISSEMENTS DE SEUILS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Remarque préliminaire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relative au nombre total de droits de vote et d'actions composant le capital</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dans le rapport de gestion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dans le document de référence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Vérifications spécifiques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Révélation des faits délictueux</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OPERATIONS SUR ACTIONS PROPRES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Textes de référence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Code de commerce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Offre publique d'achat simplifiée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1.3.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Programme de rachat d'actions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l’émetteur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Rachat en vue d'une réduction non motivée par des pertes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Programme de rachat d'actions dans le cadre de l'article L. 225-209</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Compétence de l'assemblée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Délégation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préalable du marché</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2.6.</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Abstention</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2.7.</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postérieure à la mise en œuvre du programme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16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Descriptif de l’obligation ou de la spécificité pour le(s) commissaire(s) aux comptes / points pour attention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Outils disponibles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16</w:t>
            </w:r>
          </w:p>
        </w:tc>
      </w:tr>
    </w:tbl>
    <w:p w:rsidR="00244AB1" w:rsidRDefault="00244AB1" w:rsidP="00244AB1">
      <w:pPr>
        <w:pStyle w:val="CACCorps"/>
      </w:pPr>
    </w:p>
    <w:p w:rsidR="00244AB1" w:rsidRDefault="00244AB1">
      <w:pPr>
        <w:jc w:val="left"/>
      </w:pPr>
      <w:r>
        <w:br w:type="page"/>
      </w:r>
    </w:p>
    <w:p w:rsidR="00244AB1" w:rsidRDefault="00244AB1" w:rsidP="00244AB1">
      <w:pPr>
        <w:pStyle w:val="CACCorps"/>
      </w:pPr>
    </w:p>
    <w:p w:rsidR="00244AB1" w:rsidRDefault="00244AB1" w:rsidP="00244AB1">
      <w:pPr>
        <w:pStyle w:val="CACTitre2"/>
        <w:numPr>
          <w:ilvl w:val="0"/>
          <w:numId w:val="0"/>
        </w:numPr>
        <w:ind w:left="792"/>
      </w:pPr>
      <w:bookmarkStart w:id="10" w:name="_Toc452390675"/>
      <w:r>
        <w:t>Chapitre 2420 – Marché Alternext</w:t>
      </w:r>
      <w:bookmarkEnd w:id="10"/>
    </w:p>
    <w:p w:rsidR="00244AB1" w:rsidRDefault="00244AB1" w:rsidP="00244AB1">
      <w:pPr>
        <w:pStyle w:val="CACCorps"/>
      </w:pPr>
    </w:p>
    <w:tbl>
      <w:tblPr>
        <w:tblW w:w="9600" w:type="dxa"/>
        <w:tblInd w:w="55" w:type="dxa"/>
        <w:tblCellMar>
          <w:left w:w="70" w:type="dxa"/>
          <w:right w:w="70" w:type="dxa"/>
        </w:tblCellMar>
        <w:tblLook w:val="04A0" w:firstRow="1" w:lastRow="0" w:firstColumn="1" w:lastColumn="0" w:noHBand="0" w:noVBand="1"/>
      </w:tblPr>
      <w:tblGrid>
        <w:gridCol w:w="1200"/>
        <w:gridCol w:w="7200"/>
        <w:gridCol w:w="1200"/>
      </w:tblGrid>
      <w:tr w:rsidR="00244AB1" w:rsidRPr="006426C5" w:rsidTr="005714B9">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Référence</w:t>
            </w:r>
          </w:p>
        </w:tc>
        <w:tc>
          <w:tcPr>
            <w:tcW w:w="7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Libellé</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color w:val="000000"/>
                <w:lang w:eastAsia="fr-FR"/>
              </w:rPr>
              <w:t>Page</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100.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Présentation des différents marchés de cotation français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4</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200.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Principales caractéristiques du marché organisé, Alternext</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Présentation d’Alternext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Offre au public</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Définition de l’offre au public</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2.2.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Intérêt de la distinction entre « offre au public » et « placement privé »</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Quelques points communs entre le marché réglementé et Alternext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Les relations entre l’AMF et les commissaires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Déclaration des opérations des dirigeants sur les titres de leur société</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Obligation d’information permanente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Subdélégation lors des augmentations de capital</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3.5.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Augmentations de capital avec suppression du droit préférentiel de souscription (DPS)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6</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Principales différences entre le marché réglementé et Alternext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Franchissements de seuils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Information semestrielle et trimestrielle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Rapport du Président sur le contrôle interne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Normes comptables internationales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4.5.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Les commissaires aux comptes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7</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300.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Annexe 1 : Tableau récapitulatif des obligations sur Alternext</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8</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400.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Annexe 2 : Investisseurs qualifiés</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Article D411-1 du Code Monétaire et Financier</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10</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Article D411-2 du Code Monétaire et Financier :</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11</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Section 500.</w:t>
            </w:r>
          </w:p>
        </w:tc>
        <w:tc>
          <w:tcPr>
            <w:tcW w:w="7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left"/>
              <w:rPr>
                <w:rFonts w:eastAsia="Times New Roman" w:cs="Calibri"/>
                <w:b/>
                <w:bCs/>
                <w:color w:val="FFFFFF"/>
                <w:lang w:eastAsia="fr-FR"/>
              </w:rPr>
            </w:pPr>
            <w:r w:rsidRPr="006426C5">
              <w:rPr>
                <w:rFonts w:eastAsia="Times New Roman" w:cs="Calibri"/>
                <w:b/>
                <w:bCs/>
                <w:color w:val="FFFFFF"/>
                <w:lang w:eastAsia="fr-FR"/>
              </w:rPr>
              <w:t>Transfert d’Euronext vers Alternext</w:t>
            </w:r>
          </w:p>
        </w:tc>
        <w:tc>
          <w:tcPr>
            <w:tcW w:w="1200" w:type="dxa"/>
            <w:tcBorders>
              <w:top w:val="nil"/>
              <w:left w:val="nil"/>
              <w:bottom w:val="single" w:sz="4" w:space="0" w:color="auto"/>
              <w:right w:val="single" w:sz="4" w:space="0" w:color="auto"/>
            </w:tcBorders>
            <w:shd w:val="clear" w:color="000000" w:fill="002060"/>
            <w:vAlign w:val="center"/>
            <w:hideMark/>
          </w:tcPr>
          <w:p w:rsidR="00244AB1" w:rsidRPr="006426C5" w:rsidRDefault="00244AB1" w:rsidP="005714B9">
            <w:pPr>
              <w:jc w:val="center"/>
              <w:rPr>
                <w:rFonts w:eastAsia="Times New Roman" w:cs="Calibri"/>
                <w:b/>
                <w:bCs/>
                <w:color w:val="FFFFFF"/>
                <w:lang w:eastAsia="fr-FR"/>
              </w:rPr>
            </w:pPr>
            <w:r w:rsidRPr="006426C5">
              <w:rPr>
                <w:rFonts w:eastAsia="Times New Roman" w:cs="Calibri"/>
                <w:b/>
                <w:bCs/>
                <w:webHidden/>
                <w:color w:val="FFFFFF"/>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1.</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Présentation du contexte de la réglementation</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2.</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des conditions de transfert adoptées par l'AMF</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12</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3.</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Synthèse des obligations d'information relative aux marchés Euronext et Alternext</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13</w:t>
            </w:r>
          </w:p>
        </w:tc>
      </w:tr>
      <w:tr w:rsidR="00244AB1" w:rsidRPr="006426C5" w:rsidTr="005714B9">
        <w:trPr>
          <w:trHeight w:val="9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4.</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Rappel de la règlementation applicable aux comptes consolidés des sociétés dont les titres ne sont pas admis sur un marché réglementé d'un État membre</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5.</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Modalités de transition vers le référentiel comptable CRC 99-02</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15</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6.</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Date et publicité de la décision d'appliquer le règlement du CRC n° 99</w:t>
            </w:r>
            <w:r w:rsidRPr="006426C5">
              <w:rPr>
                <w:rFonts w:eastAsia="Times New Roman" w:cs="Calibri"/>
                <w:b/>
                <w:bCs/>
                <w:color w:val="000000"/>
                <w:lang w:eastAsia="fr-FR"/>
              </w:rPr>
              <w:noBreakHyphen/>
              <w:t>02</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19</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7.</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Exemples de présentation de l'information à fournir en annexe pour expliciter le changement de règles comptables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19</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7.1.</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Tableau de retraitement du bilan à la date de clôture de l'exercice N-1:</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20</w:t>
            </w:r>
          </w:p>
        </w:tc>
      </w:tr>
      <w:tr w:rsidR="00244AB1" w:rsidRPr="006426C5" w:rsidTr="005714B9">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lastRenderedPageBreak/>
              <w:t>7.2.</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Tableau de retraitement du compte de résultat à la date de clôture de l'exercice N-1 (classement des charges et produits par nature)</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22</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7.3.</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État de rapprochement des capitaux propres à l'ouverture de l'exercice N-1</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7.4.</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État de rapprochement du résultat N-1</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23</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noProof/>
                <w:color w:val="000000"/>
                <w:lang w:eastAsia="fr-FR"/>
              </w:rPr>
              <w:t>7.5.</w:t>
            </w:r>
          </w:p>
        </w:tc>
        <w:tc>
          <w:tcPr>
            <w:tcW w:w="7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rPr>
                <w:rFonts w:eastAsia="Times New Roman" w:cs="Calibri"/>
                <w:color w:val="000000"/>
                <w:lang w:eastAsia="fr-FR"/>
              </w:rPr>
            </w:pPr>
            <w:r w:rsidRPr="006426C5">
              <w:rPr>
                <w:rFonts w:eastAsia="Times New Roman" w:cs="Calibri"/>
                <w:color w:val="000000"/>
                <w:lang w:eastAsia="fr-FR"/>
              </w:rPr>
              <w:t>Exemples d'informations à fournir sur les principaux retraitements</w:t>
            </w:r>
          </w:p>
        </w:tc>
        <w:tc>
          <w:tcPr>
            <w:tcW w:w="1200" w:type="dxa"/>
            <w:tcBorders>
              <w:top w:val="nil"/>
              <w:left w:val="nil"/>
              <w:bottom w:val="single" w:sz="4" w:space="0" w:color="auto"/>
              <w:right w:val="single" w:sz="4" w:space="0" w:color="auto"/>
            </w:tcBorders>
            <w:shd w:val="clear" w:color="auto" w:fill="auto"/>
            <w:vAlign w:val="center"/>
            <w:hideMark/>
          </w:tcPr>
          <w:p w:rsidR="00244AB1" w:rsidRPr="006426C5" w:rsidRDefault="00244AB1" w:rsidP="005714B9">
            <w:pPr>
              <w:jc w:val="center"/>
              <w:rPr>
                <w:rFonts w:eastAsia="Times New Roman" w:cs="Calibri"/>
                <w:color w:val="000000"/>
                <w:lang w:eastAsia="fr-FR"/>
              </w:rPr>
            </w:pPr>
            <w:r w:rsidRPr="006426C5">
              <w:rPr>
                <w:rFonts w:eastAsia="Times New Roman" w:cs="Calibri"/>
                <w:webHidden/>
                <w:color w:val="000000"/>
                <w:lang w:eastAsia="fr-FR"/>
              </w:rPr>
              <w:t>24</w:t>
            </w:r>
          </w:p>
        </w:tc>
      </w:tr>
      <w:tr w:rsidR="00244AB1" w:rsidRPr="006426C5" w:rsidTr="005714B9">
        <w:trPr>
          <w:trHeight w:val="300"/>
        </w:trPr>
        <w:tc>
          <w:tcPr>
            <w:tcW w:w="1200" w:type="dxa"/>
            <w:tcBorders>
              <w:top w:val="nil"/>
              <w:left w:val="single" w:sz="4" w:space="0" w:color="auto"/>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noProof/>
                <w:color w:val="000000"/>
                <w:lang w:eastAsia="fr-FR"/>
              </w:rPr>
              <w:t>8.</w:t>
            </w:r>
          </w:p>
        </w:tc>
        <w:tc>
          <w:tcPr>
            <w:tcW w:w="7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left"/>
              <w:rPr>
                <w:rFonts w:eastAsia="Times New Roman" w:cs="Calibri"/>
                <w:b/>
                <w:bCs/>
                <w:color w:val="000000"/>
                <w:lang w:eastAsia="fr-FR"/>
              </w:rPr>
            </w:pPr>
            <w:r w:rsidRPr="006426C5">
              <w:rPr>
                <w:rFonts w:eastAsia="Times New Roman" w:cs="Calibri"/>
                <w:b/>
                <w:bCs/>
                <w:color w:val="000000"/>
                <w:lang w:eastAsia="fr-FR"/>
              </w:rPr>
              <w:t>Annexes</w:t>
            </w:r>
          </w:p>
        </w:tc>
        <w:tc>
          <w:tcPr>
            <w:tcW w:w="1200" w:type="dxa"/>
            <w:tcBorders>
              <w:top w:val="nil"/>
              <w:left w:val="nil"/>
              <w:bottom w:val="single" w:sz="4" w:space="0" w:color="auto"/>
              <w:right w:val="single" w:sz="4" w:space="0" w:color="auto"/>
            </w:tcBorders>
            <w:shd w:val="clear" w:color="000000" w:fill="8DB4E2"/>
            <w:vAlign w:val="center"/>
            <w:hideMark/>
          </w:tcPr>
          <w:p w:rsidR="00244AB1" w:rsidRPr="006426C5" w:rsidRDefault="00244AB1" w:rsidP="005714B9">
            <w:pPr>
              <w:jc w:val="center"/>
              <w:rPr>
                <w:rFonts w:eastAsia="Times New Roman" w:cs="Calibri"/>
                <w:b/>
                <w:bCs/>
                <w:color w:val="000000"/>
                <w:lang w:eastAsia="fr-FR"/>
              </w:rPr>
            </w:pPr>
            <w:r w:rsidRPr="006426C5">
              <w:rPr>
                <w:rFonts w:eastAsia="Times New Roman" w:cs="Calibri"/>
                <w:b/>
                <w:bCs/>
                <w:webHidden/>
                <w:color w:val="000000"/>
                <w:lang w:eastAsia="fr-FR"/>
              </w:rPr>
              <w:t>24</w:t>
            </w:r>
          </w:p>
        </w:tc>
      </w:tr>
    </w:tbl>
    <w:p w:rsidR="00244AB1" w:rsidRDefault="00244AB1" w:rsidP="00244AB1">
      <w:pPr>
        <w:pStyle w:val="CACCorps"/>
      </w:pPr>
    </w:p>
    <w:p w:rsidR="00244AB1" w:rsidRDefault="00244AB1" w:rsidP="00244AB1">
      <w:pPr>
        <w:pStyle w:val="CACCorps"/>
      </w:pPr>
    </w:p>
    <w:p w:rsidR="00244AB1" w:rsidRDefault="00244AB1" w:rsidP="00244AB1">
      <w:pPr>
        <w:pStyle w:val="CACTitre1"/>
        <w:numPr>
          <w:ilvl w:val="0"/>
          <w:numId w:val="4"/>
        </w:numPr>
      </w:pPr>
      <w:bookmarkStart w:id="11" w:name="_Toc414274153"/>
      <w:bookmarkStart w:id="12" w:name="_Toc452390676"/>
      <w:r>
        <w:t>Outils proposés</w:t>
      </w:r>
      <w:bookmarkEnd w:id="11"/>
      <w:bookmarkEnd w:id="12"/>
    </w:p>
    <w:p w:rsidR="00244AB1" w:rsidRDefault="00244AB1" w:rsidP="00244AB1">
      <w:pPr>
        <w:pStyle w:val="CACCorps"/>
      </w:pPr>
    </w:p>
    <w:p w:rsidR="00244AB1" w:rsidRDefault="00244AB1" w:rsidP="00244AB1">
      <w:pPr>
        <w:pStyle w:val="CACCorps"/>
      </w:pPr>
    </w:p>
    <w:p w:rsidR="00244AB1" w:rsidRDefault="00244AB1" w:rsidP="00244AB1">
      <w:pPr>
        <w:pStyle w:val="CACCorps"/>
      </w:pPr>
    </w:p>
    <w:p w:rsidR="00244AB1" w:rsidRDefault="00244AB1" w:rsidP="00244AB1">
      <w:pPr>
        <w:pStyle w:val="CACTitre1"/>
        <w:numPr>
          <w:ilvl w:val="0"/>
          <w:numId w:val="5"/>
        </w:numPr>
      </w:pPr>
      <w:bookmarkStart w:id="13" w:name="_Toc414274154"/>
      <w:bookmarkStart w:id="14" w:name="_Toc452390677"/>
      <w:r>
        <w:t>Textes légaux et reglementaires</w:t>
      </w:r>
      <w:bookmarkEnd w:id="13"/>
      <w:bookmarkEnd w:id="14"/>
      <w:r>
        <w:t xml:space="preserve"> </w:t>
      </w:r>
    </w:p>
    <w:p w:rsidR="00244AB1" w:rsidRDefault="00244AB1" w:rsidP="00244AB1">
      <w:pPr>
        <w:pStyle w:val="CACCorps"/>
      </w:pPr>
    </w:p>
    <w:p w:rsidR="00244AB1" w:rsidRDefault="00244AB1" w:rsidP="00244AB1">
      <w:pPr>
        <w:pStyle w:val="CACCorps"/>
      </w:pPr>
    </w:p>
    <w:p w:rsidR="00244AB1" w:rsidRDefault="00244AB1" w:rsidP="00244AB1">
      <w:pPr>
        <w:pStyle w:val="CACCorps"/>
      </w:pPr>
    </w:p>
    <w:p w:rsidR="00244AB1" w:rsidRDefault="00244AB1" w:rsidP="00874A37">
      <w:pPr>
        <w:pStyle w:val="CACTitre1"/>
        <w:numPr>
          <w:ilvl w:val="0"/>
          <w:numId w:val="6"/>
        </w:numPr>
      </w:pPr>
      <w:bookmarkStart w:id="15" w:name="_Toc414274155"/>
      <w:bookmarkStart w:id="16" w:name="_Toc452390678"/>
      <w:r>
        <w:t>Formulaires eDossier concernés</w:t>
      </w:r>
      <w:bookmarkEnd w:id="15"/>
      <w:bookmarkEnd w:id="16"/>
    </w:p>
    <w:p w:rsidR="00244AB1" w:rsidRDefault="00244AB1" w:rsidP="00244AB1">
      <w:pPr>
        <w:pStyle w:val="CACCorps"/>
      </w:pPr>
    </w:p>
    <w:p w:rsidR="00244AB1" w:rsidRDefault="00244AB1" w:rsidP="00244AB1">
      <w:pPr>
        <w:pStyle w:val="CACCorps"/>
      </w:pPr>
    </w:p>
    <w:p w:rsidR="00244AB1" w:rsidRDefault="00244AB1" w:rsidP="00244AB1">
      <w:pPr>
        <w:pStyle w:val="CACCorps"/>
      </w:pPr>
    </w:p>
    <w:p w:rsidR="00244AB1" w:rsidRDefault="00244AB1" w:rsidP="00874A37">
      <w:pPr>
        <w:pStyle w:val="CACTitre1"/>
        <w:numPr>
          <w:ilvl w:val="0"/>
          <w:numId w:val="7"/>
        </w:numPr>
      </w:pPr>
      <w:bookmarkStart w:id="17" w:name="_Toc414274156"/>
      <w:bookmarkStart w:id="18" w:name="_Toc452390679"/>
      <w:r>
        <w:t>Ressources de l’Intranet</w:t>
      </w:r>
      <w:bookmarkEnd w:id="17"/>
      <w:bookmarkEnd w:id="18"/>
    </w:p>
    <w:p w:rsidR="00244AB1" w:rsidRDefault="00244AB1" w:rsidP="00244AB1">
      <w:pPr>
        <w:pStyle w:val="CACCorps"/>
      </w:pPr>
    </w:p>
    <w:p w:rsidR="00244AB1" w:rsidRDefault="00244AB1" w:rsidP="00244AB1">
      <w:pPr>
        <w:pStyle w:val="CACCorps"/>
      </w:pPr>
    </w:p>
    <w:p w:rsidR="00244AB1" w:rsidRDefault="00244AB1" w:rsidP="00244AB1">
      <w:pPr>
        <w:pStyle w:val="CACCorps"/>
      </w:pPr>
    </w:p>
    <w:p w:rsidR="00244AB1" w:rsidRDefault="00244AB1" w:rsidP="00244AB1">
      <w:pPr>
        <w:pStyle w:val="CACCorps"/>
      </w:pPr>
    </w:p>
    <w:p w:rsidR="00CD4EF4" w:rsidRDefault="00CD4EF4" w:rsidP="00CD4EF4">
      <w:pPr>
        <w:pStyle w:val="CACCorps"/>
      </w:pPr>
    </w:p>
    <w:p w:rsidR="00CD4EF4" w:rsidRDefault="00CD4EF4" w:rsidP="00CD4EF4">
      <w:pPr>
        <w:pStyle w:val="CACCorps"/>
      </w:pPr>
    </w:p>
    <w:p w:rsidR="00165177" w:rsidRPr="004855CD" w:rsidRDefault="00165177" w:rsidP="00CD4EF4">
      <w:pPr>
        <w:pStyle w:val="CACCorps"/>
      </w:pPr>
    </w:p>
    <w:sectPr w:rsidR="00165177" w:rsidRPr="004855CD" w:rsidSect="0012765C">
      <w:headerReference w:type="default" r:id="rId14"/>
      <w:footerReference w:type="default" r:id="rId15"/>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E33" w:rsidRDefault="00854E33" w:rsidP="00706B95">
      <w:r>
        <w:separator/>
      </w:r>
    </w:p>
  </w:endnote>
  <w:endnote w:type="continuationSeparator" w:id="0">
    <w:p w:rsidR="00854E33" w:rsidRDefault="00854E33"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374F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E77C76">
                            <w:rPr>
                              <w:b/>
                              <w:color w:val="241820" w:themeColor="accent4" w:themeShade="80"/>
                            </w:rPr>
                            <w:t>Juin</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244AB1">
                            <w:rPr>
                              <w:b/>
                              <w:color w:val="241820" w:themeColor="accent4" w:themeShade="80"/>
                            </w:rPr>
                            <w:t xml:space="preserve">Titre </w:t>
                          </w:r>
                          <w:r w:rsidR="00244AB1" w:rsidRPr="00244AB1">
                            <w:rPr>
                              <w:b/>
                              <w:color w:val="241820" w:themeColor="accent4" w:themeShade="80"/>
                            </w:rPr>
                            <w:t xml:space="preserve">2400 - Présentation des chapitres </w:t>
                          </w:r>
                          <w:r w:rsidR="00244AB1">
                            <w:rPr>
                              <w:b/>
                              <w:color w:val="241820" w:themeColor="accent4" w:themeShade="80"/>
                            </w:rPr>
                            <w:t xml:space="preserve">du titre </w:t>
                          </w:r>
                          <w:r w:rsidR="00244AB1" w:rsidRPr="00244AB1">
                            <w:rPr>
                              <w:b/>
                              <w:color w:val="241820" w:themeColor="accent4" w:themeShade="80"/>
                            </w:rPr>
                            <w:t>2400</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E77C76">
                      <w:rPr>
                        <w:b/>
                        <w:color w:val="241820" w:themeColor="accent4" w:themeShade="80"/>
                      </w:rPr>
                      <w:t>Juin</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244AB1">
                      <w:rPr>
                        <w:b/>
                        <w:color w:val="241820" w:themeColor="accent4" w:themeShade="80"/>
                      </w:rPr>
                      <w:t xml:space="preserve">Titre </w:t>
                    </w:r>
                    <w:r w:rsidR="00244AB1" w:rsidRPr="00244AB1">
                      <w:rPr>
                        <w:b/>
                        <w:color w:val="241820" w:themeColor="accent4" w:themeShade="80"/>
                      </w:rPr>
                      <w:t xml:space="preserve">2400 - Présentation des chapitres </w:t>
                    </w:r>
                    <w:r w:rsidR="00244AB1">
                      <w:rPr>
                        <w:b/>
                        <w:color w:val="241820" w:themeColor="accent4" w:themeShade="80"/>
                      </w:rPr>
                      <w:t xml:space="preserve">du titre </w:t>
                    </w:r>
                    <w:r w:rsidR="00244AB1" w:rsidRPr="00244AB1">
                      <w:rPr>
                        <w:b/>
                        <w:color w:val="241820" w:themeColor="accent4" w:themeShade="80"/>
                      </w:rPr>
                      <w:t>2400</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v:textbox>
            </v:shape>
          </w:pict>
        </mc:Fallback>
      </mc:AlternateContent>
    </w:r>
    <w:r w:rsidR="007E0487">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E33" w:rsidRDefault="00854E33" w:rsidP="00706B95">
      <w:r>
        <w:separator/>
      </w:r>
    </w:p>
  </w:footnote>
  <w:footnote w:type="continuationSeparator" w:id="0">
    <w:p w:rsidR="00854E33" w:rsidRDefault="00854E33"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7E0487">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E77C76" w:rsidRPr="00E77C76">
                            <w:rPr>
                              <w:b/>
                              <w:bCs/>
                              <w:noProof/>
                              <w:color w:val="FFFFFF" w:themeColor="background1"/>
                              <w:szCs w:val="20"/>
                            </w:rPr>
                            <w:t>7</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E77C76">
                            <w:rPr>
                              <w:b/>
                              <w:bCs/>
                              <w:noProof/>
                              <w:color w:val="FFFFFF" w:themeColor="background1"/>
                              <w:szCs w:val="20"/>
                            </w:rPr>
                            <w:t>16</w:t>
                          </w:r>
                          <w:r w:rsidR="00C436FD">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E77C76" w:rsidRPr="00E77C76">
                      <w:rPr>
                        <w:b/>
                        <w:bCs/>
                        <w:noProof/>
                        <w:color w:val="FFFFFF" w:themeColor="background1"/>
                        <w:szCs w:val="20"/>
                      </w:rPr>
                      <w:t>7</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E77C76">
                      <w:rPr>
                        <w:b/>
                        <w:bCs/>
                        <w:noProof/>
                        <w:color w:val="FFFFFF" w:themeColor="background1"/>
                        <w:szCs w:val="20"/>
                      </w:rPr>
                      <w:t>16</w:t>
                    </w:r>
                    <w:r w:rsidR="00C436FD">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44AB1"/>
    <w:rsid w:val="0027523B"/>
    <w:rsid w:val="00283853"/>
    <w:rsid w:val="0028777F"/>
    <w:rsid w:val="002A06C9"/>
    <w:rsid w:val="002C3791"/>
    <w:rsid w:val="002C594E"/>
    <w:rsid w:val="002D4C6D"/>
    <w:rsid w:val="002E3B5B"/>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309CE"/>
    <w:rsid w:val="0058523B"/>
    <w:rsid w:val="00590552"/>
    <w:rsid w:val="005C4DDC"/>
    <w:rsid w:val="005C5414"/>
    <w:rsid w:val="005D1AC7"/>
    <w:rsid w:val="00656DF2"/>
    <w:rsid w:val="00684825"/>
    <w:rsid w:val="006A665B"/>
    <w:rsid w:val="006B0623"/>
    <w:rsid w:val="00706B95"/>
    <w:rsid w:val="007430C0"/>
    <w:rsid w:val="00747FC1"/>
    <w:rsid w:val="0079078B"/>
    <w:rsid w:val="007B72A5"/>
    <w:rsid w:val="007E0487"/>
    <w:rsid w:val="00822370"/>
    <w:rsid w:val="00827DD2"/>
    <w:rsid w:val="00854E33"/>
    <w:rsid w:val="0086530A"/>
    <w:rsid w:val="00874A37"/>
    <w:rsid w:val="008B1B1A"/>
    <w:rsid w:val="008C3C87"/>
    <w:rsid w:val="00917252"/>
    <w:rsid w:val="00952337"/>
    <w:rsid w:val="00985251"/>
    <w:rsid w:val="009F2684"/>
    <w:rsid w:val="00A12123"/>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4068A"/>
    <w:rsid w:val="00D47C40"/>
    <w:rsid w:val="00D66390"/>
    <w:rsid w:val="00DA2B39"/>
    <w:rsid w:val="00E00632"/>
    <w:rsid w:val="00E50D53"/>
    <w:rsid w:val="00E50D9E"/>
    <w:rsid w:val="00E64FC3"/>
    <w:rsid w:val="00E74A62"/>
    <w:rsid w:val="00E77C76"/>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52725240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Présentation des chapitres du titre 2400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C4F44E-BD37-4A8C-A9E7-F3F03FBE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4451</Words>
  <Characters>24481</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Chapitre 24</vt:lpstr>
    </vt:vector>
  </TitlesOfParts>
  <Company>Microsoft</Company>
  <LinksUpToDate>false</LinksUpToDate>
  <CharactersWithSpaces>28875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2400</dc:title>
  <dc:creator>ATH</dc:creator>
  <cp:lastModifiedBy>Martine MICHEL</cp:lastModifiedBy>
  <cp:revision>3</cp:revision>
  <cp:lastPrinted>2016-05-25T09:36:00Z</cp:lastPrinted>
  <dcterms:created xsi:type="dcterms:W3CDTF">2016-05-30T14:55:00Z</dcterms:created>
  <dcterms:modified xsi:type="dcterms:W3CDTF">2016-06-28T11:25:00Z</dcterms:modified>
</cp:coreProperties>
</file>